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5FF2D859" w:rsidR="00CF76FE" w:rsidRDefault="00EF5F1D" w:rsidP="007812A1">
      <w:pPr>
        <w:pStyle w:val="Textkrper-Zeileneinzug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ACW-Film: Flexibilität ist Trumpf </w:t>
      </w:r>
      <w:r w:rsidR="00954C52">
        <w:rPr>
          <w:rFonts w:asciiTheme="minorHAnsi" w:hAnsiTheme="minorHAnsi"/>
          <w:sz w:val="40"/>
          <w:szCs w:val="40"/>
        </w:rPr>
        <w:t>dank sou.matrixx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05D1AC38" w14:textId="20334218" w:rsidR="00452C8D" w:rsidRDefault="005C5299" w:rsidP="00E86D0A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>Spezialist für Verpackungsfolien</w:t>
      </w:r>
      <w:r w:rsidRPr="00D468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optimiert Geschäftsprozessmanagement mit </w:t>
      </w:r>
      <w:r w:rsidR="00954C52">
        <w:rPr>
          <w:rFonts w:asciiTheme="minorHAnsi" w:hAnsiTheme="minorHAnsi"/>
        </w:rPr>
        <w:t xml:space="preserve">leistungsstarker </w:t>
      </w:r>
      <w:r w:rsidR="00D46874" w:rsidRPr="00D46874">
        <w:rPr>
          <w:rFonts w:asciiTheme="minorHAnsi" w:hAnsiTheme="minorHAnsi"/>
        </w:rPr>
        <w:t xml:space="preserve">ERP-Lösung </w:t>
      </w:r>
      <w:r w:rsidR="00EF5F1D">
        <w:rPr>
          <w:rFonts w:asciiTheme="minorHAnsi" w:hAnsiTheme="minorHAnsi"/>
        </w:rPr>
        <w:t>von SOU</w:t>
      </w:r>
    </w:p>
    <w:p w14:paraId="4257CDEE" w14:textId="77777777" w:rsidR="00452C8D" w:rsidRDefault="00452C8D" w:rsidP="00E86D0A">
      <w:pPr>
        <w:pStyle w:val="Textkrper-Zeileneinzug"/>
        <w:rPr>
          <w:rFonts w:asciiTheme="minorHAnsi" w:hAnsiTheme="minorHAnsi"/>
        </w:rPr>
      </w:pPr>
    </w:p>
    <w:p w14:paraId="7D89007C" w14:textId="2509B9CB" w:rsidR="00B16F4B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CB77BE">
        <w:rPr>
          <w:rFonts w:asciiTheme="minorHAnsi" w:hAnsiTheme="minorHAnsi"/>
          <w:b/>
        </w:rPr>
        <w:t>30</w:t>
      </w:r>
      <w:r w:rsidR="00BA191C">
        <w:rPr>
          <w:rFonts w:asciiTheme="minorHAnsi" w:hAnsiTheme="minorHAnsi"/>
          <w:b/>
        </w:rPr>
        <w:t xml:space="preserve">. </w:t>
      </w:r>
      <w:r w:rsidR="00360B3C">
        <w:rPr>
          <w:rFonts w:asciiTheme="minorHAnsi" w:hAnsiTheme="minorHAnsi"/>
          <w:b/>
        </w:rPr>
        <w:t xml:space="preserve">April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463261">
        <w:rPr>
          <w:rFonts w:asciiTheme="minorHAnsi" w:hAnsiTheme="minorHAnsi"/>
        </w:rPr>
        <w:t xml:space="preserve">Hohe Flexibilität und kurze Reaktionszeiten kennzeichnen das Geschäftsmodell </w:t>
      </w:r>
      <w:r w:rsidR="00362E5E">
        <w:rPr>
          <w:rFonts w:asciiTheme="minorHAnsi" w:hAnsiTheme="minorHAnsi"/>
        </w:rPr>
        <w:t xml:space="preserve">der </w:t>
      </w:r>
      <w:r w:rsidR="00362E5E" w:rsidRPr="00362E5E">
        <w:rPr>
          <w:rFonts w:asciiTheme="minorHAnsi" w:hAnsiTheme="minorHAnsi"/>
        </w:rPr>
        <w:t>ACW-Film GmbH &amp; Co. KG</w:t>
      </w:r>
      <w:r w:rsidR="00362E5E">
        <w:rPr>
          <w:rFonts w:asciiTheme="minorHAnsi" w:hAnsiTheme="minorHAnsi"/>
        </w:rPr>
        <w:t xml:space="preserve"> </w:t>
      </w:r>
      <w:r w:rsidR="00463261">
        <w:rPr>
          <w:rFonts w:asciiTheme="minorHAnsi" w:hAnsiTheme="minorHAnsi"/>
        </w:rPr>
        <w:t xml:space="preserve">als einem Experten für Spezial- und Nischenprodukte im Verpackungsfoliensegment. Mit der Entscheidung zum Einsatz der </w:t>
      </w:r>
      <w:r w:rsidR="00477FDB">
        <w:rPr>
          <w:rFonts w:asciiTheme="minorHAnsi" w:hAnsiTheme="minorHAnsi"/>
        </w:rPr>
        <w:t xml:space="preserve">modular aufgebauten </w:t>
      </w:r>
      <w:r w:rsidR="00463261">
        <w:rPr>
          <w:rFonts w:asciiTheme="minorHAnsi" w:hAnsiTheme="minorHAnsi"/>
        </w:rPr>
        <w:t>ERP (Enterprise Resource Planning)-Lösung sou.matrixx</w:t>
      </w:r>
      <w:r w:rsidR="00362E5E">
        <w:rPr>
          <w:rFonts w:asciiTheme="minorHAnsi" w:hAnsiTheme="minorHAnsi"/>
        </w:rPr>
        <w:t xml:space="preserve"> </w:t>
      </w:r>
      <w:r w:rsidR="00EF5F1D">
        <w:rPr>
          <w:rFonts w:asciiTheme="minorHAnsi" w:hAnsiTheme="minorHAnsi"/>
        </w:rPr>
        <w:t xml:space="preserve">profitiert das zur Melitta® </w:t>
      </w:r>
      <w:r w:rsidR="00362E5E">
        <w:rPr>
          <w:rFonts w:asciiTheme="minorHAnsi" w:hAnsiTheme="minorHAnsi"/>
        </w:rPr>
        <w:t xml:space="preserve">Gruppe </w:t>
      </w:r>
      <w:r w:rsidR="00EF5F1D">
        <w:rPr>
          <w:rFonts w:asciiTheme="minorHAnsi" w:hAnsiTheme="minorHAnsi"/>
        </w:rPr>
        <w:t>gehörende</w:t>
      </w:r>
      <w:r w:rsidR="00362E5E">
        <w:rPr>
          <w:rFonts w:asciiTheme="minorHAnsi" w:hAnsiTheme="minorHAnsi"/>
        </w:rPr>
        <w:t xml:space="preserve"> Unternehmen jetzt auch im Geschäftsprozessmanagement von durchgängig </w:t>
      </w:r>
      <w:r w:rsidR="00477FDB">
        <w:rPr>
          <w:rFonts w:asciiTheme="minorHAnsi" w:hAnsiTheme="minorHAnsi"/>
        </w:rPr>
        <w:t>automatisierten und transparenten</w:t>
      </w:r>
      <w:r w:rsidR="00362E5E">
        <w:rPr>
          <w:rFonts w:asciiTheme="minorHAnsi" w:hAnsiTheme="minorHAnsi"/>
        </w:rPr>
        <w:t xml:space="preserve"> Abläufen</w:t>
      </w:r>
      <w:r w:rsidR="007066FE">
        <w:rPr>
          <w:rFonts w:asciiTheme="minorHAnsi" w:hAnsiTheme="minorHAnsi"/>
        </w:rPr>
        <w:t xml:space="preserve"> in Beschaffung, Fertigung und Absatz von Produkten</w:t>
      </w:r>
      <w:r w:rsidR="00362E5E">
        <w:rPr>
          <w:rFonts w:asciiTheme="minorHAnsi" w:hAnsiTheme="minorHAnsi"/>
        </w:rPr>
        <w:t xml:space="preserve">. </w:t>
      </w:r>
      <w:r w:rsidR="00477FDB">
        <w:rPr>
          <w:rFonts w:asciiTheme="minorHAnsi" w:hAnsiTheme="minorHAnsi"/>
        </w:rPr>
        <w:t xml:space="preserve">Zugleich punktet die </w:t>
      </w:r>
      <w:r w:rsidR="00954C52">
        <w:rPr>
          <w:rFonts w:asciiTheme="minorHAnsi" w:hAnsiTheme="minorHAnsi"/>
        </w:rPr>
        <w:t>insbesondere auf mittelständische Anforderungen zugeschnittene</w:t>
      </w:r>
      <w:r w:rsidR="0089347F">
        <w:rPr>
          <w:rFonts w:asciiTheme="minorHAnsi" w:hAnsiTheme="minorHAnsi"/>
        </w:rPr>
        <w:t xml:space="preserve"> </w:t>
      </w:r>
      <w:r w:rsidR="00362E5E">
        <w:rPr>
          <w:rFonts w:asciiTheme="minorHAnsi" w:hAnsiTheme="minorHAnsi"/>
        </w:rPr>
        <w:t xml:space="preserve">Software des ERP-Spezialisten SOU </w:t>
      </w:r>
      <w:r w:rsidR="00477FDB">
        <w:rPr>
          <w:rFonts w:asciiTheme="minorHAnsi" w:hAnsiTheme="minorHAnsi"/>
        </w:rPr>
        <w:t xml:space="preserve">mit ihrer individuellen Anpassbarkeit – ein wichtiger Faktor, da ACW-Film beispielsweise seine Produkte je nach Kundenwunsch in </w:t>
      </w:r>
      <w:r w:rsidR="00034D5D">
        <w:rPr>
          <w:rFonts w:asciiTheme="minorHAnsi" w:hAnsiTheme="minorHAnsi"/>
        </w:rPr>
        <w:t>kleine</w:t>
      </w:r>
      <w:r w:rsidR="00477FDB">
        <w:rPr>
          <w:rFonts w:asciiTheme="minorHAnsi" w:hAnsiTheme="minorHAnsi"/>
        </w:rPr>
        <w:t>n</w:t>
      </w:r>
      <w:r w:rsidR="00034D5D">
        <w:rPr>
          <w:rFonts w:asciiTheme="minorHAnsi" w:hAnsiTheme="minorHAnsi"/>
        </w:rPr>
        <w:t xml:space="preserve"> </w:t>
      </w:r>
      <w:r w:rsidR="00954C52">
        <w:rPr>
          <w:rFonts w:asciiTheme="minorHAnsi" w:hAnsiTheme="minorHAnsi"/>
        </w:rPr>
        <w:t>bis</w:t>
      </w:r>
      <w:r w:rsidR="00034D5D">
        <w:rPr>
          <w:rFonts w:asciiTheme="minorHAnsi" w:hAnsiTheme="minorHAnsi"/>
        </w:rPr>
        <w:t xml:space="preserve"> umfangreiche</w:t>
      </w:r>
      <w:r w:rsidR="00477FDB">
        <w:rPr>
          <w:rFonts w:asciiTheme="minorHAnsi" w:hAnsiTheme="minorHAnsi"/>
        </w:rPr>
        <w:t>n</w:t>
      </w:r>
      <w:r w:rsidR="00034D5D">
        <w:rPr>
          <w:rFonts w:asciiTheme="minorHAnsi" w:hAnsiTheme="minorHAnsi"/>
        </w:rPr>
        <w:t xml:space="preserve"> Losgrößen</w:t>
      </w:r>
      <w:r w:rsidR="00477FDB">
        <w:rPr>
          <w:rFonts w:asciiTheme="minorHAnsi" w:hAnsiTheme="minorHAnsi"/>
        </w:rPr>
        <w:t xml:space="preserve"> herstellt</w:t>
      </w:r>
      <w:r w:rsidR="00034D5D">
        <w:rPr>
          <w:rFonts w:asciiTheme="minorHAnsi" w:hAnsiTheme="minorHAnsi"/>
        </w:rPr>
        <w:t>.</w:t>
      </w:r>
    </w:p>
    <w:p w14:paraId="5BA8E523" w14:textId="77777777" w:rsidR="00B16F4B" w:rsidRDefault="00B16F4B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796B4A13" w14:textId="06BF0279" w:rsidR="00B16F4B" w:rsidRDefault="004F1BF6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hyperlink r:id="rId8" w:history="1">
        <w:r w:rsidR="00477FDB" w:rsidRPr="00644246">
          <w:rPr>
            <w:rStyle w:val="Hyperlink"/>
            <w:rFonts w:asciiTheme="minorHAnsi" w:hAnsiTheme="minorHAnsi"/>
          </w:rPr>
          <w:t>ACW-Film</w:t>
        </w:r>
      </w:hyperlink>
      <w:r w:rsidR="00644246">
        <w:rPr>
          <w:rFonts w:asciiTheme="minorHAnsi" w:hAnsiTheme="minorHAnsi"/>
        </w:rPr>
        <w:t xml:space="preserve"> ist spezialisiert auf hochwertige, innovative und kundenindividuell </w:t>
      </w:r>
      <w:r w:rsidR="006E2AFC">
        <w:rPr>
          <w:rFonts w:asciiTheme="minorHAnsi" w:hAnsiTheme="minorHAnsi"/>
        </w:rPr>
        <w:t xml:space="preserve">entwickelte Verpackungsfolien. Für die Spezialverpackungsanlagen seiner Kunden in den Industriebereichen </w:t>
      </w:r>
      <w:r w:rsidR="006E2AFC" w:rsidRPr="006E2AFC">
        <w:rPr>
          <w:rFonts w:asciiTheme="minorHAnsi" w:hAnsiTheme="minorHAnsi"/>
        </w:rPr>
        <w:t>Süßwaren, Fleisch und Wurs</w:t>
      </w:r>
      <w:r w:rsidR="006E2AFC">
        <w:rPr>
          <w:rFonts w:asciiTheme="minorHAnsi" w:hAnsiTheme="minorHAnsi"/>
        </w:rPr>
        <w:t xml:space="preserve">twaren sowie Wasch-, Putz- und Reinigungsmittel produziert das in Rhede/Ems ansässige Unternehmen dabei </w:t>
      </w:r>
      <w:r w:rsidR="00477FDB" w:rsidRPr="00477FDB">
        <w:rPr>
          <w:rFonts w:asciiTheme="minorHAnsi" w:hAnsiTheme="minorHAnsi"/>
        </w:rPr>
        <w:t xml:space="preserve">Folien, Papiere </w:t>
      </w:r>
      <w:r w:rsidR="00644246">
        <w:rPr>
          <w:rFonts w:asciiTheme="minorHAnsi" w:hAnsiTheme="minorHAnsi"/>
        </w:rPr>
        <w:t xml:space="preserve">und Folien- bzw. </w:t>
      </w:r>
      <w:r w:rsidR="00477FDB" w:rsidRPr="00477FDB">
        <w:rPr>
          <w:rFonts w:asciiTheme="minorHAnsi" w:hAnsiTheme="minorHAnsi"/>
        </w:rPr>
        <w:t>Papierverbunde.</w:t>
      </w:r>
    </w:p>
    <w:p w14:paraId="2405BD5B" w14:textId="77777777" w:rsidR="00B16F4B" w:rsidRDefault="00B16F4B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25D1FF04" w14:textId="02560FAB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9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08C760C1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CB77BE">
        <w:rPr>
          <w:rFonts w:asciiTheme="minorHAnsi" w:hAnsiTheme="minorHAnsi"/>
          <w:b/>
          <w:sz w:val="16"/>
          <w:szCs w:val="16"/>
        </w:rPr>
        <w:t>0430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sou.matrixx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5F21BAE5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CB77BE" w:rsidRPr="00CD471E">
          <w:rPr>
            <w:rStyle w:val="Hyperlink"/>
            <w:rFonts w:asciiTheme="minorHAnsi" w:hAnsiTheme="minorHAnsi"/>
            <w:sz w:val="22"/>
            <w:szCs w:val="22"/>
          </w:rPr>
          <w:t>https://ars-pr.de/presse/20200430_sou</w:t>
        </w:r>
      </w:hyperlink>
      <w:r w:rsidR="00B92A7E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4F1BF6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4F1BF6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74D35502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CB77BE" w:rsidRPr="00CD471E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https://ars-pr.de/presse/20200430_sou</w:t>
      </w:r>
    </w:hyperlink>
    <w:r w:rsidR="00B92A7E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00CEF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62C" w14:textId="77777777" w:rsidR="009255B6" w:rsidRDefault="004F1BF6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FF0" w14:textId="77777777" w:rsidR="009255B6" w:rsidRDefault="004F1BF6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0CEF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4D5D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21B"/>
    <w:rsid w:val="00097427"/>
    <w:rsid w:val="000A5043"/>
    <w:rsid w:val="000A62D1"/>
    <w:rsid w:val="000A65ED"/>
    <w:rsid w:val="000A7574"/>
    <w:rsid w:val="000A7A28"/>
    <w:rsid w:val="000B0211"/>
    <w:rsid w:val="000B1A7A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365C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74CC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5E8C"/>
    <w:rsid w:val="002C6943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0B3C"/>
    <w:rsid w:val="00362527"/>
    <w:rsid w:val="00362E5E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6641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2C8D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326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77FDB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67F"/>
    <w:rsid w:val="004D2154"/>
    <w:rsid w:val="004D29C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1BF6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299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424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3A7"/>
    <w:rsid w:val="006E2AFC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66FE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162E"/>
    <w:rsid w:val="0089347F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4C55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4C52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52C9"/>
    <w:rsid w:val="00AC572B"/>
    <w:rsid w:val="00AD1206"/>
    <w:rsid w:val="00AD15AD"/>
    <w:rsid w:val="00AD15D6"/>
    <w:rsid w:val="00AD34EA"/>
    <w:rsid w:val="00AD4D76"/>
    <w:rsid w:val="00AD4FB8"/>
    <w:rsid w:val="00AD5072"/>
    <w:rsid w:val="00AD51B8"/>
    <w:rsid w:val="00AD76C4"/>
    <w:rsid w:val="00AE03FC"/>
    <w:rsid w:val="00AE090B"/>
    <w:rsid w:val="00AE1C3E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6F4B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5592"/>
    <w:rsid w:val="00BD6C58"/>
    <w:rsid w:val="00BE058F"/>
    <w:rsid w:val="00BE0A92"/>
    <w:rsid w:val="00BE221F"/>
    <w:rsid w:val="00BE25CB"/>
    <w:rsid w:val="00BE3BC1"/>
    <w:rsid w:val="00BE3D75"/>
    <w:rsid w:val="00BE455F"/>
    <w:rsid w:val="00BE570F"/>
    <w:rsid w:val="00BE636C"/>
    <w:rsid w:val="00BE6A2D"/>
    <w:rsid w:val="00BE7FA9"/>
    <w:rsid w:val="00BF0374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433E"/>
    <w:rsid w:val="00CB69FE"/>
    <w:rsid w:val="00CB7031"/>
    <w:rsid w:val="00CB77BE"/>
    <w:rsid w:val="00CC05AB"/>
    <w:rsid w:val="00CC10E0"/>
    <w:rsid w:val="00CC1259"/>
    <w:rsid w:val="00CC3249"/>
    <w:rsid w:val="00CC624F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A14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201"/>
    <w:rsid w:val="00D573EF"/>
    <w:rsid w:val="00D6166F"/>
    <w:rsid w:val="00D632AE"/>
    <w:rsid w:val="00D6399D"/>
    <w:rsid w:val="00D66DEB"/>
    <w:rsid w:val="00D7068E"/>
    <w:rsid w:val="00D7127E"/>
    <w:rsid w:val="00D716DE"/>
    <w:rsid w:val="00D722E6"/>
    <w:rsid w:val="00D733D0"/>
    <w:rsid w:val="00D74485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F7A"/>
    <w:rsid w:val="00DD0852"/>
    <w:rsid w:val="00DD0980"/>
    <w:rsid w:val="00DD2A44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3836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D0A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5F1D"/>
    <w:rsid w:val="00EF6BC8"/>
    <w:rsid w:val="00EF76AC"/>
    <w:rsid w:val="00EF7F21"/>
    <w:rsid w:val="00F016E8"/>
    <w:rsid w:val="00F052F1"/>
    <w:rsid w:val="00F064E8"/>
    <w:rsid w:val="00F077D5"/>
    <w:rsid w:val="00F07FF3"/>
    <w:rsid w:val="00F10322"/>
    <w:rsid w:val="00F1232D"/>
    <w:rsid w:val="00F149BE"/>
    <w:rsid w:val="00F1614B"/>
    <w:rsid w:val="00F17F0F"/>
    <w:rsid w:val="00F2024A"/>
    <w:rsid w:val="00F209E9"/>
    <w:rsid w:val="00F22A6C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w-film.de/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00430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430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3D37-9FE3-4E90-8D67-EE69A69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2587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ACW-Film: Flexibilität ist Trumpf dank sou.matrixx (SOU) Pressemeldung vom</vt:lpstr>
      <vt:lpstr>sou.MatriXX mit optimierter Dokumentenverarbeitung (SOU) Pressemeldung vom</vt:lpstr>
    </vt:vector>
  </TitlesOfParts>
  <Company>ars publicandi GmbH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ACW-Film: Flexibilität ist Trumpf dank sou.matrixx (SOU) Pressemeldung vom 30.04.2020</dc:title>
  <dc:creator>Sabine Sturm</dc:creator>
  <cp:lastModifiedBy>Sabine Sturm</cp:lastModifiedBy>
  <cp:revision>2</cp:revision>
  <cp:lastPrinted>2020-02-26T14:14:00Z</cp:lastPrinted>
  <dcterms:created xsi:type="dcterms:W3CDTF">2020-04-30T06:28:00Z</dcterms:created>
  <dcterms:modified xsi:type="dcterms:W3CDTF">2020-04-30T06:28:00Z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