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22" w:rsidRPr="007F2791" w:rsidRDefault="00AD468E" w:rsidP="007F2791">
      <w:pPr>
        <w:spacing w:line="320" w:lineRule="atLeast"/>
        <w:rPr>
          <w:rFonts w:ascii="Helvetica" w:hAnsi="Helvetica" w:cs="Arial"/>
          <w:b/>
          <w:iCs/>
          <w:sz w:val="36"/>
          <w:szCs w:val="36"/>
          <w:lang w:val="de-DE"/>
        </w:rPr>
      </w:pPr>
      <w:bookmarkStart w:id="0" w:name="OLE_LINK1"/>
      <w:bookmarkStart w:id="1" w:name="OLE_LINK2"/>
      <w:proofErr w:type="spellStart"/>
      <w:r>
        <w:rPr>
          <w:rFonts w:ascii="Helvetica" w:hAnsi="Helvetica" w:cs="Arial"/>
          <w:b/>
          <w:iCs/>
          <w:sz w:val="36"/>
          <w:szCs w:val="36"/>
          <w:lang w:val="de-DE"/>
        </w:rPr>
        <w:t>Lünendonk</w:t>
      </w:r>
      <w:proofErr w:type="spellEnd"/>
      <w:r>
        <w:rPr>
          <w:rFonts w:ascii="Helvetica" w:hAnsi="Helvetica" w:cs="Arial"/>
          <w:b/>
          <w:iCs/>
          <w:sz w:val="36"/>
          <w:szCs w:val="36"/>
          <w:lang w:val="de-DE"/>
        </w:rPr>
        <w:t xml:space="preserve"> bestätigt Marktposition von </w:t>
      </w:r>
      <w:r w:rsidRPr="00AD468E">
        <w:rPr>
          <w:rFonts w:ascii="Helvetica" w:hAnsi="Helvetica" w:cs="Arial"/>
          <w:b/>
          <w:i/>
          <w:iCs/>
          <w:sz w:val="36"/>
          <w:szCs w:val="36"/>
          <w:lang w:val="de-DE"/>
        </w:rPr>
        <w:t>IDL</w:t>
      </w:r>
    </w:p>
    <w:p w:rsidR="008301CC" w:rsidRPr="007F2791" w:rsidRDefault="008301CC" w:rsidP="007F2791">
      <w:pPr>
        <w:spacing w:line="320" w:lineRule="atLeast"/>
        <w:jc w:val="both"/>
        <w:rPr>
          <w:rFonts w:ascii="Helvetica" w:hAnsi="Helvetica" w:cs="Arial"/>
          <w:lang w:val="de-DE"/>
        </w:rPr>
      </w:pPr>
      <w:bookmarkStart w:id="2" w:name="_GoBack"/>
      <w:bookmarkEnd w:id="0"/>
      <w:bookmarkEnd w:id="1"/>
      <w:bookmarkEnd w:id="2"/>
    </w:p>
    <w:p w:rsidR="005F17A0" w:rsidRPr="0098782B" w:rsidRDefault="005F17A0" w:rsidP="007F2791">
      <w:pPr>
        <w:pStyle w:val="Listenabsatz"/>
        <w:tabs>
          <w:tab w:val="left" w:pos="426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sz w:val="20"/>
          <w:szCs w:val="20"/>
        </w:rPr>
      </w:pPr>
    </w:p>
    <w:p w:rsidR="0098782B" w:rsidRDefault="00AD079D" w:rsidP="00CD668F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Frutiger-Cn"/>
          <w:lang w:val="de-DE"/>
        </w:rPr>
      </w:pPr>
      <w:proofErr w:type="spellStart"/>
      <w:r w:rsidRPr="0098782B">
        <w:rPr>
          <w:rFonts w:ascii="Helvetica" w:hAnsi="Helvetica" w:cs="Arial"/>
          <w:b/>
          <w:lang w:val="de-DE"/>
        </w:rPr>
        <w:t>Schmitten</w:t>
      </w:r>
      <w:proofErr w:type="spellEnd"/>
      <w:r w:rsidRPr="0098782B">
        <w:rPr>
          <w:rFonts w:ascii="Helvetica" w:hAnsi="Helvetica" w:cs="Arial"/>
          <w:b/>
          <w:lang w:val="de-DE"/>
        </w:rPr>
        <w:t xml:space="preserve">, </w:t>
      </w:r>
      <w:r w:rsidR="00052139">
        <w:rPr>
          <w:rFonts w:ascii="Helvetica" w:hAnsi="Helvetica" w:cs="Arial"/>
          <w:b/>
          <w:lang w:val="de-DE"/>
        </w:rPr>
        <w:t>23</w:t>
      </w:r>
      <w:r w:rsidR="005F020E" w:rsidRPr="0098782B">
        <w:rPr>
          <w:rFonts w:ascii="Helvetica" w:hAnsi="Helvetica" w:cs="Arial"/>
          <w:b/>
          <w:lang w:val="de-DE"/>
        </w:rPr>
        <w:t xml:space="preserve">. </w:t>
      </w:r>
      <w:r w:rsidR="00EF1704" w:rsidRPr="0098782B">
        <w:rPr>
          <w:rFonts w:ascii="Helvetica" w:hAnsi="Helvetica" w:cs="Arial"/>
          <w:b/>
          <w:lang w:val="de-DE"/>
        </w:rPr>
        <w:t>September</w:t>
      </w:r>
      <w:r w:rsidRPr="0098782B">
        <w:rPr>
          <w:rFonts w:ascii="Helvetica" w:hAnsi="Helvetica" w:cs="Arial"/>
          <w:b/>
          <w:lang w:val="de-DE"/>
        </w:rPr>
        <w:t xml:space="preserve"> 2013 –</w:t>
      </w:r>
      <w:r w:rsidR="005E3322" w:rsidRPr="0098782B">
        <w:rPr>
          <w:rFonts w:ascii="Helvetica" w:hAnsi="Helvetica" w:cs="Arial"/>
          <w:b/>
          <w:lang w:val="de-DE"/>
        </w:rPr>
        <w:t xml:space="preserve"> </w:t>
      </w:r>
      <w:r w:rsidR="00AD468E" w:rsidRPr="0098782B">
        <w:rPr>
          <w:rFonts w:ascii="Helvetica" w:hAnsi="Helvetica" w:cs="Frutiger-Cn"/>
          <w:lang w:val="de-DE"/>
        </w:rPr>
        <w:t xml:space="preserve">Die neueste Marktstichprobe des Analystenhauses </w:t>
      </w:r>
      <w:proofErr w:type="spellStart"/>
      <w:r w:rsidR="00AD468E" w:rsidRPr="0098782B">
        <w:rPr>
          <w:rFonts w:ascii="Helvetica" w:hAnsi="Helvetica" w:cs="Frutiger-Cn"/>
          <w:lang w:val="de-DE"/>
        </w:rPr>
        <w:t>Lünendonk</w:t>
      </w:r>
      <w:proofErr w:type="spellEnd"/>
      <w:r w:rsidR="00AD468E" w:rsidRPr="0098782B">
        <w:rPr>
          <w:rFonts w:ascii="Helvetica" w:hAnsi="Helvetica" w:cs="Frutiger-Cn"/>
          <w:lang w:val="de-DE"/>
        </w:rPr>
        <w:t xml:space="preserve"> listet </w:t>
      </w:r>
      <w:r w:rsidR="00AD468E" w:rsidRPr="0098782B">
        <w:rPr>
          <w:rFonts w:ascii="Helvetica" w:hAnsi="Helvetica" w:cs="Frutiger-BoldItalic"/>
          <w:b/>
          <w:bCs/>
          <w:i/>
          <w:iCs/>
          <w:lang w:val="de-DE"/>
        </w:rPr>
        <w:t xml:space="preserve">IDL </w:t>
      </w:r>
      <w:r w:rsidR="00AD468E" w:rsidRPr="0098782B">
        <w:rPr>
          <w:rFonts w:ascii="Helvetica" w:hAnsi="Helvetica" w:cs="Frutiger-Cn"/>
          <w:lang w:val="de-DE"/>
        </w:rPr>
        <w:t>unter den Top-10-Anbietern für Business-Intelligence</w:t>
      </w:r>
      <w:r w:rsidR="0098782B">
        <w:rPr>
          <w:rFonts w:ascii="Helvetica" w:hAnsi="Helvetica" w:cs="Frutiger-Cn"/>
          <w:lang w:val="de-DE"/>
        </w:rPr>
        <w:t xml:space="preserve"> (BI)-</w:t>
      </w:r>
      <w:r w:rsidR="00AD468E" w:rsidRPr="0098782B">
        <w:rPr>
          <w:rFonts w:ascii="Helvetica" w:hAnsi="Helvetica" w:cs="Frutiger-Cn"/>
          <w:lang w:val="de-DE"/>
        </w:rPr>
        <w:t xml:space="preserve">Software in Deutschland und bestätigt damit </w:t>
      </w:r>
      <w:r w:rsidR="0098782B">
        <w:rPr>
          <w:rFonts w:ascii="Helvetica" w:hAnsi="Helvetica" w:cs="Frutiger-Cn"/>
          <w:lang w:val="de-DE"/>
        </w:rPr>
        <w:t>das stimmige</w:t>
      </w:r>
      <w:r w:rsidR="00AD468E" w:rsidRPr="0098782B">
        <w:rPr>
          <w:rFonts w:ascii="Helvetica" w:hAnsi="Helvetica" w:cs="Frutiger-Cn"/>
          <w:lang w:val="de-DE"/>
        </w:rPr>
        <w:t xml:space="preserve"> Lösungsportfolio und eine führende Marktposition</w:t>
      </w:r>
      <w:r w:rsidR="0098782B">
        <w:rPr>
          <w:rFonts w:ascii="Helvetica" w:hAnsi="Helvetica" w:cs="Frutiger-Cn"/>
          <w:lang w:val="de-DE"/>
        </w:rPr>
        <w:t xml:space="preserve"> des Business-Performance-Management-Spezialisten</w:t>
      </w:r>
      <w:r w:rsidR="00AD468E" w:rsidRPr="0098782B">
        <w:rPr>
          <w:rFonts w:ascii="Helvetica" w:hAnsi="Helvetica" w:cs="Frutiger-Cn"/>
          <w:lang w:val="de-DE"/>
        </w:rPr>
        <w:t xml:space="preserve">. </w:t>
      </w:r>
    </w:p>
    <w:p w:rsidR="00830A2D" w:rsidRDefault="00570661" w:rsidP="00CD668F">
      <w:pPr>
        <w:autoSpaceDE w:val="0"/>
        <w:autoSpaceDN w:val="0"/>
        <w:adjustRightInd w:val="0"/>
        <w:spacing w:line="320" w:lineRule="atLeast"/>
        <w:ind w:leftChars="992" w:left="1984" w:right="-284" w:firstLine="567"/>
        <w:jc w:val="both"/>
        <w:rPr>
          <w:rFonts w:ascii="Arial" w:hAnsi="Arial" w:cs="Arial"/>
          <w:lang w:val="de-DE"/>
        </w:rPr>
      </w:pPr>
      <w:r>
        <w:rPr>
          <w:rFonts w:ascii="Helvetica" w:hAnsi="Helvetica" w:cs="Arial"/>
          <w:lang w:val="de-DE"/>
        </w:rPr>
        <w:t>Mit</w:t>
      </w:r>
      <w:r w:rsidR="00830A2D" w:rsidRPr="0098782B">
        <w:rPr>
          <w:rFonts w:ascii="Helvetica" w:hAnsi="Helvetica" w:cs="Arial"/>
          <w:lang w:val="de-DE"/>
        </w:rPr>
        <w:t xml:space="preserve"> e</w:t>
      </w:r>
      <w:r w:rsidR="00830A2D">
        <w:rPr>
          <w:rFonts w:ascii="Helvetica" w:hAnsi="Helvetica" w:cs="Arial"/>
          <w:lang w:val="de-DE"/>
        </w:rPr>
        <w:t xml:space="preserve">inem gruppenweiten Umsatz 2012 von 14,8 Mio. Euro </w:t>
      </w:r>
      <w:r>
        <w:rPr>
          <w:rFonts w:ascii="Helvetica" w:hAnsi="Helvetica" w:cs="Arial"/>
          <w:lang w:val="de-DE"/>
        </w:rPr>
        <w:t>ist</w:t>
      </w:r>
      <w:r w:rsidR="00830A2D" w:rsidRPr="00830A2D">
        <w:rPr>
          <w:rFonts w:ascii="Helvetica" w:hAnsi="Helvetica" w:cs="Arial"/>
          <w:b/>
          <w:i/>
          <w:lang w:val="de-DE"/>
        </w:rPr>
        <w:t xml:space="preserve"> IDL</w:t>
      </w:r>
      <w:r w:rsidR="00830A2D">
        <w:rPr>
          <w:rFonts w:ascii="Helvetica" w:hAnsi="Helvetica" w:cs="Arial"/>
          <w:b/>
          <w:i/>
          <w:lang w:val="de-DE"/>
        </w:rPr>
        <w:t xml:space="preserve"> </w:t>
      </w:r>
      <w:r>
        <w:rPr>
          <w:rFonts w:ascii="Helvetica" w:hAnsi="Helvetica" w:cs="Arial"/>
          <w:lang w:val="de-DE"/>
        </w:rPr>
        <w:t>zweitgrößter Anbieter</w:t>
      </w:r>
      <w:r w:rsidR="0098782B">
        <w:rPr>
          <w:rFonts w:ascii="Helvetica" w:hAnsi="Helvetica" w:cs="Arial"/>
          <w:lang w:val="de-DE"/>
        </w:rPr>
        <w:t xml:space="preserve"> im Vergleich der </w:t>
      </w:r>
      <w:r>
        <w:rPr>
          <w:rFonts w:ascii="Helvetica" w:hAnsi="Helvetica" w:cs="Arial"/>
          <w:lang w:val="de-DE"/>
        </w:rPr>
        <w:t>18</w:t>
      </w:r>
      <w:r w:rsidR="0098782B">
        <w:rPr>
          <w:rFonts w:ascii="Helvetica" w:hAnsi="Helvetica" w:cs="Arial"/>
          <w:lang w:val="de-DE"/>
        </w:rPr>
        <w:t xml:space="preserve"> </w:t>
      </w:r>
      <w:r w:rsidR="00830A2D">
        <w:rPr>
          <w:rFonts w:ascii="Helvetica" w:hAnsi="Helvetica" w:cs="Arial"/>
          <w:lang w:val="de-DE"/>
        </w:rPr>
        <w:t>einbezogenen Unternehmen mit</w:t>
      </w:r>
      <w:r w:rsidR="00830A2D" w:rsidRPr="0098782B">
        <w:rPr>
          <w:rFonts w:ascii="Arial" w:hAnsi="Arial" w:cs="Arial"/>
          <w:lang w:val="de-DE"/>
        </w:rPr>
        <w:t xml:space="preserve"> </w:t>
      </w:r>
      <w:r w:rsidR="00830A2D">
        <w:rPr>
          <w:rFonts w:ascii="Arial" w:hAnsi="Arial" w:cs="Arial"/>
          <w:lang w:val="de-DE"/>
        </w:rPr>
        <w:t xml:space="preserve">Hauptsitz in Deutschland. Rein auf den Umsatz in Deutschland bezogen belegt </w:t>
      </w:r>
      <w:r w:rsidR="00830A2D">
        <w:rPr>
          <w:rFonts w:ascii="Arial" w:hAnsi="Arial" w:cs="Arial"/>
          <w:b/>
          <w:i/>
          <w:lang w:val="de-DE"/>
        </w:rPr>
        <w:t>IDL</w:t>
      </w:r>
      <w:r w:rsidR="00830A2D">
        <w:rPr>
          <w:rFonts w:ascii="Arial" w:hAnsi="Arial" w:cs="Arial"/>
          <w:lang w:val="de-DE"/>
        </w:rPr>
        <w:t xml:space="preserve"> Platz 7 mit 12,1 Mio. Euro.</w:t>
      </w:r>
    </w:p>
    <w:p w:rsidR="00CD668F" w:rsidRPr="00C70A20" w:rsidRDefault="00CD668F" w:rsidP="00322D5F">
      <w:pPr>
        <w:spacing w:line="360" w:lineRule="atLeast"/>
        <w:ind w:leftChars="992" w:left="1984" w:right="-284" w:firstLine="568"/>
        <w:jc w:val="both"/>
        <w:rPr>
          <w:rFonts w:ascii="Helvetica" w:hAnsi="Helvetica" w:cs="Arial"/>
          <w:lang w:val="de-DE"/>
        </w:rPr>
      </w:pPr>
      <w:r w:rsidRPr="00AD468E">
        <w:rPr>
          <w:rFonts w:ascii="Helvetica" w:hAnsi="Helvetica" w:cs="Arial"/>
          <w:lang w:val="de-DE"/>
        </w:rPr>
        <w:t>Für neun</w:t>
      </w:r>
      <w:r>
        <w:rPr>
          <w:rFonts w:ascii="Helvetica" w:hAnsi="Helvetica" w:cs="Arial"/>
          <w:lang w:val="de-DE"/>
        </w:rPr>
        <w:t xml:space="preserve"> </w:t>
      </w:r>
      <w:r w:rsidRPr="00AD468E">
        <w:rPr>
          <w:rFonts w:ascii="Helvetica" w:hAnsi="Helvetica" w:cs="Arial"/>
          <w:lang w:val="de-DE"/>
        </w:rPr>
        <w:t>der</w:t>
      </w:r>
      <w:r w:rsidR="00C059D5">
        <w:rPr>
          <w:rFonts w:ascii="Helvetica" w:hAnsi="Helvetica" w:cs="Arial"/>
          <w:lang w:val="de-DE"/>
        </w:rPr>
        <w:t xml:space="preserve"> </w:t>
      </w:r>
      <w:r w:rsidRPr="00AD468E">
        <w:rPr>
          <w:rFonts w:ascii="Helvetica" w:hAnsi="Helvetica" w:cs="Arial"/>
          <w:lang w:val="de-DE"/>
        </w:rPr>
        <w:t>befragten BI-Standard-Software-Anbieter arbeiten</w:t>
      </w:r>
      <w:r>
        <w:rPr>
          <w:rFonts w:ascii="Helvetica" w:hAnsi="Helvetica" w:cs="Arial"/>
          <w:lang w:val="de-DE"/>
        </w:rPr>
        <w:t xml:space="preserve"> laut </w:t>
      </w:r>
      <w:proofErr w:type="spellStart"/>
      <w:r>
        <w:rPr>
          <w:rFonts w:ascii="Helvetica" w:hAnsi="Helvetica" w:cs="Arial"/>
          <w:lang w:val="de-DE"/>
        </w:rPr>
        <w:t>Lünendonk</w:t>
      </w:r>
      <w:proofErr w:type="spellEnd"/>
      <w:r>
        <w:rPr>
          <w:rFonts w:ascii="Helvetica" w:hAnsi="Helvetica" w:cs="Arial"/>
          <w:lang w:val="de-DE"/>
        </w:rPr>
        <w:t xml:space="preserve"> </w:t>
      </w:r>
      <w:r w:rsidRPr="00AD468E">
        <w:rPr>
          <w:rFonts w:ascii="Helvetica" w:hAnsi="Helvetica" w:cs="Arial"/>
          <w:lang w:val="de-DE"/>
        </w:rPr>
        <w:t>insgesamt beziehungsweise über ihre deutsche Tochtergesellschaft 100 Arbeitnehmer</w:t>
      </w:r>
      <w:r>
        <w:rPr>
          <w:rFonts w:ascii="Helvetica" w:hAnsi="Helvetica" w:cs="Arial"/>
          <w:lang w:val="de-DE"/>
        </w:rPr>
        <w:t xml:space="preserve"> u</w:t>
      </w:r>
      <w:r w:rsidRPr="00AD468E">
        <w:rPr>
          <w:rFonts w:ascii="Helvetica" w:hAnsi="Helvetica" w:cs="Arial"/>
          <w:lang w:val="de-DE"/>
        </w:rPr>
        <w:t xml:space="preserve">nd mehr. </w:t>
      </w:r>
      <w:r w:rsidR="00322D5F" w:rsidRPr="00322D5F">
        <w:rPr>
          <w:rFonts w:ascii="Helvetica" w:hAnsi="Helvetica" w:cs="Arial"/>
          <w:b/>
          <w:i/>
          <w:lang w:val="de-DE"/>
        </w:rPr>
        <w:t xml:space="preserve">IDL </w:t>
      </w:r>
      <w:r w:rsidR="00570661" w:rsidRPr="00570661">
        <w:rPr>
          <w:rFonts w:ascii="Helvetica" w:hAnsi="Helvetica" w:cs="Arial"/>
          <w:lang w:val="de-DE"/>
        </w:rPr>
        <w:t>positionierte sich 2012 als</w:t>
      </w:r>
      <w:r w:rsidR="00570661">
        <w:rPr>
          <w:rFonts w:ascii="Helvetica" w:hAnsi="Helvetica" w:cs="Arial"/>
          <w:b/>
          <w:i/>
          <w:lang w:val="de-DE"/>
        </w:rPr>
        <w:t xml:space="preserve"> </w:t>
      </w:r>
      <w:r w:rsidR="00570661" w:rsidRPr="00C70A20">
        <w:rPr>
          <w:rFonts w:ascii="Helvetica" w:hAnsi="Helvetica" w:cs="Arial"/>
          <w:lang w:val="de-DE"/>
        </w:rPr>
        <w:t xml:space="preserve">Arbeitgeber </w:t>
      </w:r>
      <w:r w:rsidR="00570661">
        <w:rPr>
          <w:rFonts w:ascii="Helvetica" w:hAnsi="Helvetica" w:cs="Arial"/>
          <w:lang w:val="de-DE"/>
        </w:rPr>
        <w:t xml:space="preserve">in diesem Ranking an vierter Stelle </w:t>
      </w:r>
      <w:r w:rsidR="00322D5F" w:rsidRPr="00C70A20">
        <w:rPr>
          <w:rFonts w:ascii="Helvetica" w:hAnsi="Helvetica" w:cs="Arial"/>
          <w:lang w:val="de-DE"/>
        </w:rPr>
        <w:t>und beschäftigt heute gruppenweit insgesamt 130 Mitarbeiter.</w:t>
      </w:r>
    </w:p>
    <w:p w:rsidR="00830A2D" w:rsidRDefault="00830A2D" w:rsidP="00CD668F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Arial" w:hAnsi="Arial" w:cs="Arial"/>
          <w:lang w:val="de-DE"/>
        </w:rPr>
      </w:pPr>
    </w:p>
    <w:p w:rsidR="0047196A" w:rsidRPr="0098782B" w:rsidRDefault="00AD468E" w:rsidP="00CD668F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Frutiger-Cn"/>
          <w:lang w:val="de-DE"/>
        </w:rPr>
      </w:pPr>
      <w:r w:rsidRPr="0098782B">
        <w:rPr>
          <w:rFonts w:ascii="Helvetica" w:hAnsi="Helvetica" w:cs="Frutiger-Cn"/>
          <w:lang w:val="de-DE"/>
        </w:rPr>
        <w:t xml:space="preserve">Die Nachfrage nach </w:t>
      </w:r>
      <w:r w:rsidR="0098782B">
        <w:rPr>
          <w:rFonts w:ascii="Helvetica" w:hAnsi="Helvetica" w:cs="Frutiger-Cn"/>
          <w:lang w:val="de-DE"/>
        </w:rPr>
        <w:t>BI</w:t>
      </w:r>
      <w:r w:rsidRPr="0098782B">
        <w:rPr>
          <w:rFonts w:ascii="Helvetica" w:hAnsi="Helvetica" w:cs="Frutiger-Cn"/>
          <w:lang w:val="de-DE"/>
        </w:rPr>
        <w:t xml:space="preserve">-Lösungen ist gemäß der Studie ungebrochen. Die primär wichtigen Einsatzgebiete werden klar im Finanzwesen und der Unternehmenssteuerung gesehen, dicht gefolgt von Vertrieb, IT/Prozesssteuerung und Marketing. Bei den Trends zählt neben Business </w:t>
      </w:r>
      <w:proofErr w:type="spellStart"/>
      <w:r w:rsidRPr="0098782B">
        <w:rPr>
          <w:rFonts w:ascii="Helvetica" w:hAnsi="Helvetica" w:cs="Frutiger-Cn"/>
          <w:lang w:val="de-DE"/>
        </w:rPr>
        <w:t>Analytics</w:t>
      </w:r>
      <w:proofErr w:type="spellEnd"/>
      <w:r w:rsidRPr="0098782B">
        <w:rPr>
          <w:rFonts w:ascii="Helvetica" w:hAnsi="Helvetica" w:cs="Frutiger-Cn"/>
          <w:lang w:val="de-DE"/>
        </w:rPr>
        <w:t xml:space="preserve"> und Big Data vor allem Mobile zu den stärksten Treibern. </w:t>
      </w:r>
    </w:p>
    <w:p w:rsidR="00AD468E" w:rsidRDefault="00AD468E" w:rsidP="00CD668F">
      <w:pPr>
        <w:spacing w:line="320" w:lineRule="atLeast"/>
        <w:ind w:leftChars="992" w:left="1984" w:right="-284" w:firstLine="567"/>
        <w:jc w:val="both"/>
        <w:rPr>
          <w:rFonts w:ascii="Helvetica" w:hAnsi="Helvetica" w:cs="Frutiger-Cn"/>
          <w:lang w:val="de-DE"/>
        </w:rPr>
      </w:pPr>
    </w:p>
    <w:p w:rsidR="00CD668F" w:rsidRDefault="00CD668F" w:rsidP="00CD668F">
      <w:pPr>
        <w:spacing w:line="320" w:lineRule="atLeast"/>
        <w:ind w:leftChars="992" w:left="1984" w:right="-284" w:firstLine="567"/>
        <w:jc w:val="both"/>
        <w:rPr>
          <w:rFonts w:ascii="Helvetica" w:hAnsi="Helvetica" w:cs="Frutiger-Cn"/>
          <w:lang w:val="de-DE"/>
        </w:rPr>
      </w:pPr>
    </w:p>
    <w:p w:rsidR="00CD668F" w:rsidRPr="0098782B" w:rsidRDefault="00CD668F" w:rsidP="00CD668F">
      <w:pPr>
        <w:spacing w:line="320" w:lineRule="atLeast"/>
        <w:ind w:leftChars="992" w:left="1984" w:right="-284" w:firstLine="567"/>
        <w:jc w:val="both"/>
        <w:rPr>
          <w:rFonts w:ascii="Helvetica" w:hAnsi="Helvetica" w:cs="Frutiger-Cn"/>
          <w:lang w:val="de-DE"/>
        </w:rPr>
      </w:pPr>
    </w:p>
    <w:p w:rsidR="00AD079D" w:rsidRPr="007F2791" w:rsidRDefault="00AD079D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b/>
          <w:bCs/>
          <w:color w:val="000000"/>
          <w:lang w:val="de-DE"/>
        </w:rPr>
        <w:t xml:space="preserve">Hintergrundinformationen zu </w:t>
      </w:r>
      <w:r w:rsidRPr="007F2791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</w:p>
    <w:p w:rsidR="00AD079D" w:rsidRPr="007F2791" w:rsidRDefault="00B57C5E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>D</w:t>
      </w:r>
      <w:r w:rsidR="00AD079D" w:rsidRPr="007F2791">
        <w:rPr>
          <w:rFonts w:ascii="Helvetica" w:hAnsi="Helvetica" w:cs="Arial"/>
          <w:lang w:val="de-DE"/>
        </w:rPr>
        <w:t xml:space="preserve">ie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393F88" w:rsidRPr="007F2791">
        <w:rPr>
          <w:rFonts w:ascii="Helvetica" w:hAnsi="Helvetica" w:cs="Arial"/>
          <w:lang w:val="de-DE"/>
        </w:rPr>
        <w:t>-Unternehmens</w:t>
      </w:r>
      <w:r w:rsidR="00FB7844" w:rsidRPr="007F2791">
        <w:rPr>
          <w:rFonts w:ascii="Helvetica" w:hAnsi="Helvetica" w:cs="Arial"/>
          <w:lang w:val="de-DE"/>
        </w:rPr>
        <w:t>g</w:t>
      </w:r>
      <w:r w:rsidR="00AD079D" w:rsidRPr="007F2791">
        <w:rPr>
          <w:rFonts w:ascii="Helvetica" w:hAnsi="Helvetica" w:cs="Arial"/>
          <w:lang w:val="de-DE"/>
        </w:rPr>
        <w:t xml:space="preserve">ruppe mit Hauptsitz in </w:t>
      </w:r>
      <w:proofErr w:type="spellStart"/>
      <w:r w:rsidR="00AD079D" w:rsidRPr="007F2791">
        <w:rPr>
          <w:rFonts w:ascii="Helvetica" w:hAnsi="Helvetica" w:cs="Arial"/>
          <w:lang w:val="de-DE"/>
        </w:rPr>
        <w:t>Schmitten</w:t>
      </w:r>
      <w:proofErr w:type="spellEnd"/>
      <w:r w:rsidR="00AD079D" w:rsidRPr="007F2791">
        <w:rPr>
          <w:rFonts w:ascii="Helvetica" w:hAnsi="Helvetica" w:cs="Arial"/>
          <w:lang w:val="de-DE"/>
        </w:rPr>
        <w:t xml:space="preserve">, Frankfurt/Main </w:t>
      </w:r>
      <w:r>
        <w:rPr>
          <w:rFonts w:ascii="Helvetica" w:hAnsi="Helvetica" w:cs="Arial"/>
          <w:lang w:val="de-DE"/>
        </w:rPr>
        <w:t xml:space="preserve">ist </w:t>
      </w:r>
      <w:r w:rsidR="006C69EC" w:rsidRPr="007F2791">
        <w:rPr>
          <w:rFonts w:ascii="Helvetica" w:hAnsi="Helvetica" w:cs="Arial"/>
          <w:lang w:val="de-DE"/>
        </w:rPr>
        <w:t xml:space="preserve">zuverlässiger </w:t>
      </w:r>
      <w:r w:rsidR="00AD079D" w:rsidRPr="007F2791">
        <w:rPr>
          <w:rFonts w:ascii="Helvetica" w:hAnsi="Helvetica" w:cs="Arial"/>
          <w:lang w:val="de-DE"/>
        </w:rPr>
        <w:t xml:space="preserve">Partner </w:t>
      </w:r>
      <w:r w:rsidR="00BD430C" w:rsidRPr="007F2791">
        <w:rPr>
          <w:rFonts w:ascii="Helvetica" w:hAnsi="Helvetica" w:cs="Arial"/>
          <w:lang w:val="de-DE"/>
        </w:rPr>
        <w:t xml:space="preserve">und führender Anbieter </w:t>
      </w:r>
      <w:r w:rsidR="00AD079D" w:rsidRPr="007F2791">
        <w:rPr>
          <w:rFonts w:ascii="Helvetica" w:hAnsi="Helvetica" w:cs="Arial"/>
          <w:lang w:val="de-DE"/>
        </w:rPr>
        <w:t xml:space="preserve">für moderne Business-Performance-Management (BPM)-Lösungen </w:t>
      </w:r>
      <w:proofErr w:type="gramStart"/>
      <w:r w:rsidR="00AD079D" w:rsidRPr="007F2791">
        <w:rPr>
          <w:rFonts w:ascii="Helvetica" w:hAnsi="Helvetica" w:cs="Arial"/>
          <w:lang w:val="de-DE"/>
        </w:rPr>
        <w:t>rund</w:t>
      </w:r>
      <w:proofErr w:type="gramEnd"/>
      <w:r w:rsidR="00AD079D" w:rsidRPr="007F2791">
        <w:rPr>
          <w:rFonts w:ascii="Helvetica" w:hAnsi="Helvetica" w:cs="Arial"/>
          <w:lang w:val="de-DE"/>
        </w:rPr>
        <w:t xml:space="preserve"> um die Themen </w:t>
      </w:r>
      <w:r w:rsidR="00A66E77" w:rsidRPr="007F2791">
        <w:rPr>
          <w:rFonts w:ascii="Helvetica" w:hAnsi="Helvetica" w:cs="Arial"/>
          <w:lang w:val="de-DE"/>
        </w:rPr>
        <w:t>Konsolidierung, Planung, Analyse und</w:t>
      </w:r>
      <w:r w:rsidR="00AD079D" w:rsidRPr="007F2791">
        <w:rPr>
          <w:rFonts w:ascii="Helvetica" w:hAnsi="Helvetica" w:cs="Arial"/>
          <w:lang w:val="de-DE"/>
        </w:rPr>
        <w:t xml:space="preserve"> Reporting. Die Stärken von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AD079D" w:rsidRPr="007F2791">
        <w:rPr>
          <w:rFonts w:ascii="Helvetica" w:hAnsi="Helvetica" w:cs="Arial"/>
          <w:lang w:val="de-DE"/>
        </w:rPr>
        <w:t xml:space="preserve"> liegen in der </w:t>
      </w:r>
      <w:r w:rsidR="006C69EC" w:rsidRPr="007F2791">
        <w:rPr>
          <w:rFonts w:ascii="Helvetica" w:hAnsi="Helvetica" w:cs="Arial"/>
          <w:lang w:val="de-DE"/>
        </w:rPr>
        <w:t xml:space="preserve">fachlichen, </w:t>
      </w:r>
      <w:r w:rsidR="00AD079D" w:rsidRPr="007F2791">
        <w:rPr>
          <w:rFonts w:ascii="Helvetica" w:hAnsi="Helvetica" w:cs="Arial"/>
          <w:lang w:val="de-DE"/>
        </w:rPr>
        <w:t>betriebswirtschaftlichen, methodischen und technischen Kompetenz. Kombiniert mit leistungsstarker Software und erstklassigem Service entstehen flexible Anwendungen, die Kunden einen ganzheitlichen</w:t>
      </w:r>
      <w:r w:rsidR="006C69EC" w:rsidRPr="007F2791">
        <w:rPr>
          <w:rFonts w:ascii="Helvetica" w:hAnsi="Helvetica" w:cs="Arial"/>
          <w:lang w:val="de-DE"/>
        </w:rPr>
        <w:t>, zukunftsorientierten</w:t>
      </w:r>
      <w:r w:rsidR="00AD079D" w:rsidRPr="007F2791">
        <w:rPr>
          <w:rFonts w:ascii="Helvetica" w:hAnsi="Helvetica" w:cs="Arial"/>
          <w:lang w:val="de-DE"/>
        </w:rPr>
        <w:t xml:space="preserve"> und nachhaltigen Nutzen </w:t>
      </w:r>
      <w:r w:rsidR="006C69EC" w:rsidRPr="007F2791">
        <w:rPr>
          <w:rFonts w:ascii="Helvetica" w:hAnsi="Helvetica" w:cs="Arial"/>
          <w:lang w:val="de-DE"/>
        </w:rPr>
        <w:t>verschaffen</w:t>
      </w:r>
      <w:r w:rsidR="00AD079D" w:rsidRPr="007F2791">
        <w:rPr>
          <w:rFonts w:ascii="Helvetica" w:hAnsi="Helvetica" w:cs="Arial"/>
          <w:lang w:val="de-DE"/>
        </w:rPr>
        <w:t xml:space="preserve">. Unternehmen und Konzerne verschiedenster Branchen arbeiten </w:t>
      </w:r>
      <w:r w:rsidR="006C69EC" w:rsidRPr="007F2791">
        <w:rPr>
          <w:rFonts w:ascii="Helvetica" w:hAnsi="Helvetica" w:cs="Arial"/>
          <w:lang w:val="de-DE"/>
        </w:rPr>
        <w:t xml:space="preserve">weltweit </w:t>
      </w:r>
      <w:r w:rsidR="00AD079D" w:rsidRPr="007F2791">
        <w:rPr>
          <w:rFonts w:ascii="Helvetica" w:hAnsi="Helvetica" w:cs="Arial"/>
          <w:lang w:val="de-DE"/>
        </w:rPr>
        <w:t xml:space="preserve">mit BPM-Lösungen von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AD079D" w:rsidRPr="007F2791">
        <w:rPr>
          <w:rFonts w:ascii="Helvetica" w:hAnsi="Helvetica" w:cs="Arial"/>
          <w:lang w:val="de-DE"/>
        </w:rPr>
        <w:t xml:space="preserve">. Darüber hinaus vertrauen viele Kommunen auf </w:t>
      </w:r>
      <w:r w:rsidR="006C69EC" w:rsidRPr="007F2791">
        <w:rPr>
          <w:rFonts w:ascii="Helvetica" w:hAnsi="Helvetica" w:cs="Arial"/>
          <w:lang w:val="de-DE"/>
        </w:rPr>
        <w:t xml:space="preserve">die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>
        <w:rPr>
          <w:rFonts w:ascii="Helvetica" w:hAnsi="Helvetica" w:cs="Arial"/>
          <w:lang w:val="de-DE"/>
        </w:rPr>
        <w:t>-</w:t>
      </w:r>
      <w:r w:rsidR="00AD079D" w:rsidRPr="007F2791">
        <w:rPr>
          <w:rFonts w:ascii="Helvetica" w:hAnsi="Helvetica" w:cs="Arial"/>
          <w:lang w:val="de-DE"/>
        </w:rPr>
        <w:t>Lösungen im Bereich des kommunalen Finanz</w:t>
      </w:r>
      <w:r w:rsidR="001340F7">
        <w:rPr>
          <w:rFonts w:ascii="Helvetica" w:hAnsi="Helvetica" w:cs="Arial"/>
          <w:lang w:val="de-DE"/>
        </w:rPr>
        <w:t>–</w:t>
      </w:r>
      <w:proofErr w:type="spellStart"/>
      <w:r w:rsidR="00AD079D" w:rsidRPr="007F2791">
        <w:rPr>
          <w:rFonts w:ascii="Helvetica" w:hAnsi="Helvetica" w:cs="Arial"/>
          <w:lang w:val="de-DE"/>
        </w:rPr>
        <w:t>managements</w:t>
      </w:r>
      <w:proofErr w:type="spellEnd"/>
      <w:r w:rsidR="00AD079D" w:rsidRPr="007F2791">
        <w:rPr>
          <w:rFonts w:ascii="Helvetica" w:hAnsi="Helvetica" w:cs="Arial"/>
          <w:lang w:val="de-DE"/>
        </w:rPr>
        <w:t>.</w:t>
      </w:r>
    </w:p>
    <w:p w:rsidR="00E5494B" w:rsidRPr="007F2791" w:rsidRDefault="00E5494B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052139" w:rsidRPr="007F2791" w:rsidRDefault="00AD079D" w:rsidP="00052139">
      <w:pPr>
        <w:spacing w:line="260" w:lineRule="atLeast"/>
        <w:ind w:right="-284"/>
        <w:jc w:val="both"/>
        <w:rPr>
          <w:rFonts w:ascii="Helvetica" w:hAnsi="Helvetica" w:cs="Arial"/>
          <w:b/>
          <w:sz w:val="16"/>
          <w:szCs w:val="16"/>
          <w:lang w:val="de-DE"/>
        </w:rPr>
      </w:pPr>
      <w:r w:rsidRPr="007F2791">
        <w:rPr>
          <w:rFonts w:ascii="Helvetica" w:hAnsi="Helvetica" w:cs="Arial"/>
          <w:b/>
          <w:i/>
          <w:lang w:val="de-DE"/>
        </w:rPr>
        <w:t>IDL</w:t>
      </w:r>
      <w:r w:rsidRPr="007F2791">
        <w:rPr>
          <w:rFonts w:ascii="Helvetica" w:hAnsi="Helvetica" w:cs="Arial"/>
          <w:lang w:val="de-DE"/>
        </w:rPr>
        <w:t xml:space="preserve"> ist mit Gesellschaften in Deutschland, Österreich, der Schweiz sowie Frankreich vertreten. Das Unternehmen </w:t>
      </w:r>
      <w:r w:rsidR="006C69EC" w:rsidRPr="007F2791">
        <w:rPr>
          <w:rFonts w:ascii="Helvetica" w:hAnsi="Helvetica" w:cs="Arial"/>
          <w:lang w:val="de-DE"/>
        </w:rPr>
        <w:t>ist Microsoft Gold Partner und</w:t>
      </w:r>
      <w:r w:rsidRPr="007F2791">
        <w:rPr>
          <w:rFonts w:ascii="Helvetica" w:hAnsi="Helvetica" w:cs="Arial"/>
          <w:lang w:val="de-DE"/>
        </w:rPr>
        <w:t xml:space="preserve"> einer der größten Business-Intelligence-Partner von Cubeware</w:t>
      </w:r>
      <w:r w:rsidR="006C69EC" w:rsidRPr="007F2791">
        <w:rPr>
          <w:rFonts w:ascii="Helvetica" w:hAnsi="Helvetica" w:cs="Arial"/>
          <w:lang w:val="de-DE"/>
        </w:rPr>
        <w:t>. Zahlreiche</w:t>
      </w:r>
      <w:r w:rsidRPr="007F2791">
        <w:rPr>
          <w:rFonts w:ascii="Helvetica" w:hAnsi="Helvetica" w:cs="Arial"/>
          <w:lang w:val="de-DE"/>
        </w:rPr>
        <w:t xml:space="preserve"> ERP-Anbieter </w:t>
      </w:r>
      <w:r w:rsidR="006C69EC" w:rsidRPr="007F2791">
        <w:rPr>
          <w:rFonts w:ascii="Helvetica" w:hAnsi="Helvetica" w:cs="Arial"/>
          <w:lang w:val="de-DE"/>
        </w:rPr>
        <w:t xml:space="preserve">haben die </w:t>
      </w:r>
      <w:r w:rsidR="006C69EC" w:rsidRPr="007F2791">
        <w:rPr>
          <w:rFonts w:ascii="Helvetica" w:hAnsi="Helvetica" w:cs="Arial"/>
          <w:b/>
          <w:i/>
          <w:lang w:val="de-DE"/>
        </w:rPr>
        <w:t>IDL</w:t>
      </w:r>
      <w:r w:rsidR="006C69EC" w:rsidRPr="007F2791">
        <w:rPr>
          <w:rFonts w:ascii="Helvetica" w:hAnsi="Helvetica" w:cs="Arial"/>
          <w:lang w:val="de-DE"/>
        </w:rPr>
        <w:t xml:space="preserve">-Konsolidierungssoftware in ihr Angebot </w:t>
      </w:r>
      <w:r w:rsidRPr="007F2791">
        <w:rPr>
          <w:rFonts w:ascii="Helvetica" w:hAnsi="Helvetica" w:cs="Arial"/>
          <w:lang w:val="de-DE"/>
        </w:rPr>
        <w:t>integriert,</w:t>
      </w:r>
      <w:r w:rsidR="006C69EC" w:rsidRPr="007F2791">
        <w:rPr>
          <w:rFonts w:ascii="Helvetica" w:hAnsi="Helvetica" w:cs="Arial"/>
          <w:lang w:val="de-DE"/>
        </w:rPr>
        <w:t xml:space="preserve"> zudem sind</w:t>
      </w:r>
      <w:r w:rsidRPr="007F2791">
        <w:rPr>
          <w:rFonts w:ascii="Helvetica" w:hAnsi="Helvetica" w:cs="Arial"/>
          <w:lang w:val="de-DE"/>
        </w:rPr>
        <w:t xml:space="preserve"> die Plattformen von Microsoft und IBM sowie der reibungsfreie Zugriff auf SAP im </w:t>
      </w:r>
      <w:r w:rsidRPr="007F2791">
        <w:rPr>
          <w:rFonts w:ascii="Helvetica" w:hAnsi="Helvetica" w:cs="Arial"/>
          <w:b/>
          <w:i/>
          <w:lang w:val="de-DE"/>
        </w:rPr>
        <w:t>IDL</w:t>
      </w:r>
      <w:r w:rsidR="00A66E77" w:rsidRPr="007F2791">
        <w:rPr>
          <w:rFonts w:ascii="Helvetica" w:hAnsi="Helvetica" w:cs="Arial"/>
          <w:lang w:val="de-DE"/>
        </w:rPr>
        <w:t>-</w:t>
      </w:r>
      <w:r w:rsidR="006C69EC" w:rsidRPr="007F2791">
        <w:rPr>
          <w:rFonts w:ascii="Helvetica" w:hAnsi="Helvetica" w:cs="Arial"/>
          <w:lang w:val="de-DE"/>
        </w:rPr>
        <w:t xml:space="preserve">Portfolio </w:t>
      </w:r>
      <w:r w:rsidRPr="007F2791">
        <w:rPr>
          <w:rFonts w:ascii="Helvetica" w:hAnsi="Helvetica" w:cs="Arial"/>
          <w:lang w:val="de-DE"/>
        </w:rPr>
        <w:t>fest verankert.</w:t>
      </w:r>
      <w:r w:rsidR="00B57C5E">
        <w:rPr>
          <w:rFonts w:ascii="Helvetica" w:hAnsi="Helvetica" w:cs="Arial"/>
          <w:lang w:val="de-DE"/>
        </w:rPr>
        <w:t xml:space="preserve"> </w:t>
      </w:r>
      <w:r w:rsidRPr="007F2791">
        <w:rPr>
          <w:rFonts w:ascii="Helvetica" w:hAnsi="Helvetica" w:cs="Arial"/>
          <w:lang w:val="de-DE"/>
        </w:rPr>
        <w:t xml:space="preserve">Weitere Informationen unter </w:t>
      </w:r>
      <w:hyperlink r:id="rId8" w:history="1">
        <w:r w:rsidRPr="007F2791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3E653A" w:rsidRPr="007F2791">
        <w:rPr>
          <w:rFonts w:ascii="Helvetica" w:hAnsi="Helvetica" w:cs="Arial"/>
          <w:lang w:val="de-DE"/>
        </w:rPr>
        <w:t>.</w:t>
      </w:r>
      <w:r w:rsidR="00544C56">
        <w:rPr>
          <w:rFonts w:ascii="Helvetica" w:hAnsi="Helvetica" w:cs="Arial"/>
          <w:lang w:val="de-DE"/>
        </w:rPr>
        <w:t xml:space="preserve">        </w:t>
      </w:r>
      <w:r w:rsidR="00052139" w:rsidRPr="007F2791">
        <w:rPr>
          <w:rFonts w:ascii="Helvetica" w:hAnsi="Helvetica" w:cs="Arial"/>
          <w:b/>
          <w:sz w:val="16"/>
          <w:szCs w:val="16"/>
          <w:lang w:val="de-DE"/>
        </w:rPr>
        <w:t>2013</w:t>
      </w:r>
      <w:r w:rsidR="00052139">
        <w:rPr>
          <w:rFonts w:ascii="Helvetica" w:hAnsi="Helvetica" w:cs="Arial"/>
          <w:b/>
          <w:sz w:val="16"/>
          <w:szCs w:val="16"/>
          <w:lang w:val="de-DE"/>
        </w:rPr>
        <w:t>0923</w:t>
      </w:r>
      <w:r w:rsidR="00052139" w:rsidRPr="007F2791">
        <w:rPr>
          <w:rFonts w:ascii="Helvetica" w:hAnsi="Helvetica" w:cs="Arial"/>
          <w:b/>
          <w:sz w:val="16"/>
          <w:szCs w:val="16"/>
          <w:lang w:val="de-DE"/>
        </w:rPr>
        <w:t>_idl</w:t>
      </w:r>
    </w:p>
    <w:p w:rsidR="00CD668F" w:rsidRDefault="00CD668F" w:rsidP="00544C56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271D5" w:rsidRPr="00E271D5" w:rsidRDefault="00E271D5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D3BAC" w:rsidRPr="007F2791" w:rsidRDefault="00ED3BAC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b/>
          <w:i/>
          <w:lang w:val="de-DE"/>
        </w:rPr>
      </w:pPr>
      <w:r w:rsidRPr="007F2791">
        <w:rPr>
          <w:rFonts w:ascii="Helvetica" w:hAnsi="Helvetica" w:cs="Arial"/>
          <w:b/>
          <w:i/>
          <w:lang w:val="de-DE"/>
        </w:rPr>
        <w:t>Kontakt</w:t>
      </w:r>
      <w:r w:rsidR="0090618C" w:rsidRPr="007F2791">
        <w:rPr>
          <w:rFonts w:ascii="Helvetica" w:hAnsi="Helvetica" w:cs="Arial"/>
          <w:b/>
          <w:i/>
          <w:lang w:val="de-DE"/>
        </w:rPr>
        <w:tab/>
        <w:t>Presse-Ansprechpartner</w:t>
      </w:r>
    </w:p>
    <w:p w:rsidR="00ED3BAC" w:rsidRPr="00316E6B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</w:rPr>
      </w:pPr>
      <w:r w:rsidRPr="00316E6B">
        <w:rPr>
          <w:rFonts w:ascii="Helvetica" w:hAnsi="Helvetica" w:cs="Arial"/>
          <w:b/>
          <w:i/>
        </w:rPr>
        <w:t>IDL</w:t>
      </w:r>
      <w:r w:rsidRPr="00316E6B">
        <w:rPr>
          <w:rFonts w:ascii="Helvetica" w:hAnsi="Helvetica" w:cs="Arial"/>
          <w:i/>
        </w:rPr>
        <w:t xml:space="preserve"> GmbH </w:t>
      </w:r>
      <w:proofErr w:type="spellStart"/>
      <w:r w:rsidRPr="00316E6B">
        <w:rPr>
          <w:rFonts w:ascii="Helvetica" w:hAnsi="Helvetica" w:cs="Arial"/>
          <w:i/>
        </w:rPr>
        <w:t>Mitte</w:t>
      </w:r>
      <w:proofErr w:type="spellEnd"/>
      <w:r w:rsidR="0090618C" w:rsidRPr="00316E6B">
        <w:rPr>
          <w:rFonts w:ascii="Helvetica" w:hAnsi="Helvetica" w:cs="Arial"/>
        </w:rPr>
        <w:tab/>
        <w:t>ars publicandi GmbH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Monika Düsterhöft</w:t>
      </w:r>
      <w:r w:rsidR="0090618C" w:rsidRPr="007F2791">
        <w:rPr>
          <w:rFonts w:ascii="Helvetica" w:hAnsi="Helvetica" w:cs="Arial"/>
          <w:lang w:val="de-DE"/>
        </w:rPr>
        <w:tab/>
        <w:t>Martina Overmann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proofErr w:type="spellStart"/>
      <w:r w:rsidRPr="007F2791">
        <w:rPr>
          <w:rFonts w:ascii="Helvetica" w:hAnsi="Helvetica" w:cs="Arial"/>
          <w:lang w:val="de-DE"/>
        </w:rPr>
        <w:t>Adlzreiterstraße</w:t>
      </w:r>
      <w:proofErr w:type="spellEnd"/>
      <w:r w:rsidRPr="007F2791">
        <w:rPr>
          <w:rFonts w:ascii="Helvetica" w:hAnsi="Helvetica" w:cs="Arial"/>
          <w:lang w:val="de-DE"/>
        </w:rPr>
        <w:t xml:space="preserve"> 8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Schulstraße 28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83022 Rosenheim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 xml:space="preserve">66976 </w:t>
      </w:r>
      <w:proofErr w:type="spellStart"/>
      <w:r w:rsidR="0090618C" w:rsidRPr="007F2791">
        <w:rPr>
          <w:rFonts w:ascii="Helvetica" w:hAnsi="Helvetica" w:cs="Arial"/>
          <w:lang w:val="de-CH"/>
        </w:rPr>
        <w:t>Rodalben</w:t>
      </w:r>
      <w:proofErr w:type="spellEnd"/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Telefon: </w:t>
      </w:r>
      <w:r w:rsidRPr="007F2791">
        <w:rPr>
          <w:rFonts w:ascii="Helvetica" w:hAnsi="Helvetica" w:cs="Arial"/>
          <w:lang w:val="fr-FR"/>
        </w:rPr>
        <w:t>+49/(0)</w:t>
      </w:r>
      <w:r w:rsidR="0068170E" w:rsidRPr="007F2791">
        <w:rPr>
          <w:rFonts w:ascii="Helvetica" w:hAnsi="Helvetica" w:cs="Arial"/>
          <w:lang w:val="fr-FR"/>
        </w:rPr>
        <w:t>8031-230-159-201</w:t>
      </w:r>
      <w:r w:rsidR="0090618C" w:rsidRPr="007F2791">
        <w:rPr>
          <w:rFonts w:ascii="Helvetica" w:hAnsi="Helvetica" w:cs="Arial"/>
          <w:lang w:val="fr-FR"/>
        </w:rPr>
        <w:tab/>
      </w:r>
      <w:proofErr w:type="spellStart"/>
      <w:r w:rsidR="0090618C" w:rsidRPr="007F2791">
        <w:rPr>
          <w:rFonts w:ascii="Helvetica" w:hAnsi="Helvetica" w:cs="Arial"/>
          <w:lang w:val="fr-FR"/>
        </w:rPr>
        <w:t>Telefon</w:t>
      </w:r>
      <w:proofErr w:type="spellEnd"/>
      <w:r w:rsidR="0090618C" w:rsidRPr="007F2791">
        <w:rPr>
          <w:rFonts w:ascii="Helvetica" w:hAnsi="Helvetica" w:cs="Arial"/>
          <w:lang w:val="fr-FR"/>
        </w:rPr>
        <w:t>: +49/(0)6331/5543-13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Telefax: </w:t>
      </w:r>
      <w:r w:rsidR="0068170E" w:rsidRPr="007F2791">
        <w:rPr>
          <w:rFonts w:ascii="Helvetica" w:hAnsi="Helvetica" w:cs="Arial"/>
          <w:lang w:val="fr-FR"/>
        </w:rPr>
        <w:t>+49/(0)8031-230-159-199</w:t>
      </w:r>
      <w:r w:rsidR="0090618C" w:rsidRPr="007F2791">
        <w:rPr>
          <w:rFonts w:ascii="Helvetica" w:hAnsi="Helvetica" w:cs="Arial"/>
          <w:lang w:val="fr-FR"/>
        </w:rPr>
        <w:tab/>
      </w:r>
      <w:proofErr w:type="spellStart"/>
      <w:r w:rsidR="0090618C" w:rsidRPr="007F2791">
        <w:rPr>
          <w:rFonts w:ascii="Helvetica" w:hAnsi="Helvetica" w:cs="Arial"/>
          <w:lang w:val="fr-FR"/>
        </w:rPr>
        <w:t>Telefax</w:t>
      </w:r>
      <w:proofErr w:type="spellEnd"/>
      <w:r w:rsidR="0090618C" w:rsidRPr="007F2791">
        <w:rPr>
          <w:rFonts w:ascii="Helvetica" w:hAnsi="Helvetica" w:cs="Arial"/>
          <w:lang w:val="fr-FR"/>
        </w:rPr>
        <w:t>: +49/(0)6331/5543-43</w:t>
      </w:r>
    </w:p>
    <w:p w:rsidR="00ED3BAC" w:rsidRPr="007F2791" w:rsidRDefault="002E55E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9" w:history="1">
        <w:r w:rsidR="00ED3BAC" w:rsidRPr="007F2791">
          <w:rPr>
            <w:rStyle w:val="Hyperlink"/>
            <w:rFonts w:ascii="Helvetica" w:hAnsi="Helvetica" w:cs="Arial"/>
            <w:lang w:val="de-DE"/>
          </w:rPr>
          <w:t>info@idl.eu</w:t>
        </w:r>
      </w:hyperlink>
      <w:r w:rsidR="0090618C" w:rsidRPr="007F2791">
        <w:rPr>
          <w:rFonts w:ascii="Helvetica" w:hAnsi="Helvetica"/>
          <w:lang w:val="de-DE"/>
        </w:rPr>
        <w:tab/>
      </w:r>
      <w:hyperlink r:id="rId10" w:history="1">
        <w:r w:rsidR="0090618C" w:rsidRPr="007F2791">
          <w:rPr>
            <w:rStyle w:val="Hyperlink"/>
            <w:rFonts w:ascii="Helvetica" w:hAnsi="Helvetica" w:cs="Arial"/>
            <w:lang w:val="fr-FR"/>
          </w:rPr>
          <w:t>MOvermann@ars-pr.de</w:t>
        </w:r>
      </w:hyperlink>
    </w:p>
    <w:p w:rsidR="00954041" w:rsidRPr="007F2791" w:rsidRDefault="002E55E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1" w:history="1">
        <w:r w:rsidR="00ED3BAC" w:rsidRPr="007F2791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ED3BAC" w:rsidRPr="007F2791">
        <w:rPr>
          <w:rFonts w:ascii="Helvetica" w:hAnsi="Helvetica" w:cs="Arial"/>
          <w:lang w:val="de-DE"/>
        </w:rPr>
        <w:t xml:space="preserve"> </w:t>
      </w:r>
      <w:r w:rsidR="0090618C" w:rsidRPr="007F2791">
        <w:rPr>
          <w:rFonts w:ascii="Helvetica" w:hAnsi="Helvetica" w:cs="Arial"/>
          <w:lang w:val="de-DE"/>
        </w:rPr>
        <w:tab/>
      </w:r>
      <w:hyperlink r:id="rId12" w:history="1">
        <w:r w:rsidR="0090618C" w:rsidRPr="007F2791">
          <w:rPr>
            <w:rStyle w:val="Hyperlink"/>
            <w:rFonts w:ascii="Helvetica" w:hAnsi="Helvetica" w:cs="Arial"/>
            <w:lang w:val="fr-FR"/>
          </w:rPr>
          <w:t>http://www.ars-pr.de</w:t>
        </w:r>
      </w:hyperlink>
    </w:p>
    <w:sectPr w:rsidR="00954041" w:rsidRPr="007F2791" w:rsidSect="0097448C">
      <w:headerReference w:type="default" r:id="rId13"/>
      <w:footerReference w:type="default" r:id="rId14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53" w:rsidRDefault="00B55A53">
      <w:r>
        <w:separator/>
      </w:r>
    </w:p>
  </w:endnote>
  <w:endnote w:type="continuationSeparator" w:id="0">
    <w:p w:rsidR="00B55A53" w:rsidRDefault="00B5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76" w:rsidRPr="007F2791" w:rsidRDefault="00F82B76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:rsidR="00F82B76" w:rsidRPr="00CD668F" w:rsidRDefault="00F82B76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</w:rPr>
    </w:pPr>
    <w:r w:rsidRPr="00CD668F">
      <w:rPr>
        <w:rFonts w:ascii="Helvetica" w:hAnsi="Helvetica" w:cs="Arial"/>
        <w:b/>
        <w:bCs/>
        <w:sz w:val="19"/>
        <w:szCs w:val="19"/>
      </w:rPr>
      <w:t>Text</w:t>
    </w:r>
    <w:r w:rsidR="00CD668F" w:rsidRPr="00CD668F">
      <w:rPr>
        <w:rFonts w:ascii="Helvetica" w:hAnsi="Helvetica" w:cs="Arial"/>
        <w:b/>
        <w:bCs/>
        <w:sz w:val="19"/>
        <w:szCs w:val="19"/>
      </w:rPr>
      <w:t>-Download</w:t>
    </w:r>
    <w:r w:rsidRPr="00CD668F">
      <w:rPr>
        <w:rFonts w:ascii="Helvetica" w:hAnsi="Helvetica" w:cs="Arial"/>
        <w:b/>
        <w:bCs/>
        <w:sz w:val="19"/>
        <w:szCs w:val="19"/>
      </w:rPr>
      <w:t xml:space="preserve"> </w:t>
    </w:r>
    <w:proofErr w:type="spellStart"/>
    <w:r w:rsidRPr="00CD668F">
      <w:rPr>
        <w:rFonts w:ascii="Helvetica" w:hAnsi="Helvetica" w:cs="Arial"/>
        <w:b/>
        <w:bCs/>
        <w:sz w:val="19"/>
        <w:szCs w:val="19"/>
      </w:rPr>
      <w:t>unter</w:t>
    </w:r>
    <w:proofErr w:type="spellEnd"/>
    <w:r w:rsidRPr="00CD668F">
      <w:rPr>
        <w:rFonts w:ascii="Helvetica" w:hAnsi="Helvetica" w:cs="Arial"/>
        <w:b/>
        <w:bCs/>
        <w:sz w:val="19"/>
        <w:szCs w:val="19"/>
      </w:rPr>
      <w:t xml:space="preserve"> </w:t>
    </w:r>
    <w:hyperlink r:id="rId1" w:history="1">
      <w:r w:rsidR="00052139" w:rsidRPr="00A76458">
        <w:rPr>
          <w:rStyle w:val="Hyperlink"/>
          <w:rFonts w:ascii="Helvetica" w:hAnsi="Helvetica" w:cs="Arial"/>
          <w:b/>
          <w:bCs/>
          <w:sz w:val="19"/>
          <w:szCs w:val="19"/>
        </w:rPr>
        <w:t>http://www.ars-pr.de/de/presse/meldungen/20130923_idl.php</w:t>
      </w:r>
    </w:hyperlink>
    <w:r w:rsidRPr="00CD668F">
      <w:rPr>
        <w:rFonts w:ascii="Helvetica" w:hAnsi="Helvetica" w:cs="Arial"/>
        <w:b/>
        <w:bCs/>
        <w:sz w:val="19"/>
        <w:szCs w:val="19"/>
      </w:rPr>
      <w:t xml:space="preserve"> </w:t>
    </w:r>
    <w:r w:rsidR="007F2791" w:rsidRPr="00CD668F">
      <w:rPr>
        <w:rFonts w:ascii="Helvetica" w:hAnsi="Helvetica" w:cs="Arial"/>
        <w:b/>
        <w:bCs/>
        <w:sz w:val="18"/>
        <w:szCs w:val="18"/>
      </w:rPr>
      <w:t xml:space="preserve"> </w:t>
    </w:r>
    <w:r w:rsidRPr="00CD668F">
      <w:rPr>
        <w:rFonts w:ascii="Helvetica" w:hAnsi="Helvetica" w:cs="Arial"/>
        <w:b/>
        <w:bCs/>
        <w:sz w:val="18"/>
        <w:szCs w:val="18"/>
      </w:rPr>
      <w:t xml:space="preserve">     </w:t>
    </w:r>
    <w:r w:rsidR="00CD668F">
      <w:rPr>
        <w:rFonts w:ascii="Helvetica" w:hAnsi="Helvetica" w:cs="Arial"/>
        <w:b/>
        <w:bCs/>
        <w:sz w:val="18"/>
        <w:szCs w:val="18"/>
      </w:rPr>
      <w:t xml:space="preserve">                   </w:t>
    </w:r>
    <w:r w:rsidR="002E55EC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CD668F">
      <w:rPr>
        <w:rStyle w:val="Seitenzahl"/>
        <w:rFonts w:ascii="Helvetica" w:hAnsi="Helvetica" w:cs="Arial"/>
        <w:b/>
        <w:bCs/>
        <w:sz w:val="18"/>
        <w:szCs w:val="18"/>
      </w:rPr>
      <w:instrText xml:space="preserve"> PAGE </w:instrText>
    </w:r>
    <w:r w:rsidR="002E55EC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414446">
      <w:rPr>
        <w:rStyle w:val="Seitenzahl"/>
        <w:rFonts w:ascii="Helvetica" w:hAnsi="Helvetica" w:cs="Arial"/>
        <w:b/>
        <w:bCs/>
        <w:noProof/>
        <w:sz w:val="18"/>
        <w:szCs w:val="18"/>
      </w:rPr>
      <w:t>1</w:t>
    </w:r>
    <w:r w:rsidR="002E55EC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53" w:rsidRDefault="00B55A53">
      <w:r>
        <w:separator/>
      </w:r>
    </w:p>
  </w:footnote>
  <w:footnote w:type="continuationSeparator" w:id="0">
    <w:p w:rsidR="00B55A53" w:rsidRDefault="00B5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76" w:rsidRDefault="00F82B76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5ACC">
      <w:rPr>
        <w:rFonts w:ascii="Helvetica" w:hAnsi="Helvetica" w:cs="Helvetica"/>
        <w:spacing w:val="20"/>
        <w:sz w:val="28"/>
        <w:szCs w:val="28"/>
      </w:rPr>
      <w:t>PRESSEINFORMATION</w:t>
    </w:r>
  </w:p>
  <w:p w:rsidR="00F82B76" w:rsidRPr="00920D07" w:rsidRDefault="00F82B76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920D07">
      <w:rPr>
        <w:rFonts w:ascii="Helvetica" w:hAnsi="Helvetica"/>
        <w:b/>
        <w:i/>
        <w:spacing w:val="20"/>
        <w:lang w:val="de-DE"/>
      </w:rPr>
      <w:t>IDL</w:t>
    </w:r>
    <w:r w:rsidRPr="00D51FC3">
      <w:rPr>
        <w:rFonts w:ascii="Helvetica" w:hAnsi="Helvetica"/>
        <w:b/>
        <w:i/>
        <w:spacing w:val="20"/>
        <w:lang w:val="de-DE"/>
      </w:rPr>
      <w:t>-Unternehmensgruppe</w:t>
    </w:r>
  </w:p>
  <w:p w:rsidR="00F82B76" w:rsidRDefault="00F82B76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F82B76" w:rsidRDefault="002E55EC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w:pict>
        <v:line id="Line 1" o:spid="_x0000_s4097" style="position:absolute;z-index:251659264;visibility:visibl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</w:pict>
    </w:r>
  </w:p>
  <w:p w:rsidR="00F82B76" w:rsidRPr="00920D07" w:rsidRDefault="00F82B76" w:rsidP="00920D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ActGenerated" w:val="1"/>
  </w:docVars>
  <w:rsids>
    <w:rsidRoot w:val="00962AC0"/>
    <w:rsid w:val="00002673"/>
    <w:rsid w:val="00004685"/>
    <w:rsid w:val="00004CE5"/>
    <w:rsid w:val="0001133C"/>
    <w:rsid w:val="000124E5"/>
    <w:rsid w:val="000166A0"/>
    <w:rsid w:val="0002173F"/>
    <w:rsid w:val="00023E0C"/>
    <w:rsid w:val="00024077"/>
    <w:rsid w:val="000264FA"/>
    <w:rsid w:val="00026AD9"/>
    <w:rsid w:val="0003281B"/>
    <w:rsid w:val="00052139"/>
    <w:rsid w:val="000532A3"/>
    <w:rsid w:val="000665B4"/>
    <w:rsid w:val="00066687"/>
    <w:rsid w:val="0008392E"/>
    <w:rsid w:val="00084E54"/>
    <w:rsid w:val="0009019C"/>
    <w:rsid w:val="000A5A9E"/>
    <w:rsid w:val="000B1425"/>
    <w:rsid w:val="000B1605"/>
    <w:rsid w:val="000B28B6"/>
    <w:rsid w:val="000C0846"/>
    <w:rsid w:val="000C508A"/>
    <w:rsid w:val="000C5C60"/>
    <w:rsid w:val="000C5EA5"/>
    <w:rsid w:val="000C62E1"/>
    <w:rsid w:val="000C7C5A"/>
    <w:rsid w:val="000D2B78"/>
    <w:rsid w:val="000E7CAB"/>
    <w:rsid w:val="000F0A4F"/>
    <w:rsid w:val="000F3099"/>
    <w:rsid w:val="000F48D3"/>
    <w:rsid w:val="000F4E37"/>
    <w:rsid w:val="00100CF0"/>
    <w:rsid w:val="00100E14"/>
    <w:rsid w:val="00114004"/>
    <w:rsid w:val="0012219C"/>
    <w:rsid w:val="001229ED"/>
    <w:rsid w:val="00123CE3"/>
    <w:rsid w:val="0013163F"/>
    <w:rsid w:val="001340F7"/>
    <w:rsid w:val="001345E7"/>
    <w:rsid w:val="00147E89"/>
    <w:rsid w:val="00155BE0"/>
    <w:rsid w:val="00156B4C"/>
    <w:rsid w:val="00156C21"/>
    <w:rsid w:val="00157BE7"/>
    <w:rsid w:val="00165765"/>
    <w:rsid w:val="00166CA1"/>
    <w:rsid w:val="00177DE6"/>
    <w:rsid w:val="0018532A"/>
    <w:rsid w:val="0018713F"/>
    <w:rsid w:val="001925C2"/>
    <w:rsid w:val="00192620"/>
    <w:rsid w:val="0019389A"/>
    <w:rsid w:val="00194FEA"/>
    <w:rsid w:val="001964AC"/>
    <w:rsid w:val="00197ACA"/>
    <w:rsid w:val="001B0CDC"/>
    <w:rsid w:val="001B6BB3"/>
    <w:rsid w:val="001B6CFE"/>
    <w:rsid w:val="001C36D3"/>
    <w:rsid w:val="001C6CA9"/>
    <w:rsid w:val="001D3179"/>
    <w:rsid w:val="001D366B"/>
    <w:rsid w:val="001E5044"/>
    <w:rsid w:val="001E6BAD"/>
    <w:rsid w:val="001E6BC4"/>
    <w:rsid w:val="001F182E"/>
    <w:rsid w:val="00200201"/>
    <w:rsid w:val="00210406"/>
    <w:rsid w:val="00210A6D"/>
    <w:rsid w:val="00210B61"/>
    <w:rsid w:val="00212A5C"/>
    <w:rsid w:val="00215B72"/>
    <w:rsid w:val="002409AC"/>
    <w:rsid w:val="00240CBE"/>
    <w:rsid w:val="00245955"/>
    <w:rsid w:val="00245F83"/>
    <w:rsid w:val="002516D0"/>
    <w:rsid w:val="00256BAC"/>
    <w:rsid w:val="002575AA"/>
    <w:rsid w:val="002751CD"/>
    <w:rsid w:val="002819A2"/>
    <w:rsid w:val="00282997"/>
    <w:rsid w:val="002854BA"/>
    <w:rsid w:val="00292EC4"/>
    <w:rsid w:val="002947AC"/>
    <w:rsid w:val="00295E6F"/>
    <w:rsid w:val="002A26F1"/>
    <w:rsid w:val="002A2B07"/>
    <w:rsid w:val="002A533A"/>
    <w:rsid w:val="002B48F7"/>
    <w:rsid w:val="002B62EF"/>
    <w:rsid w:val="002C4A8A"/>
    <w:rsid w:val="002C7633"/>
    <w:rsid w:val="002E0BC8"/>
    <w:rsid w:val="002E55EC"/>
    <w:rsid w:val="002E5B51"/>
    <w:rsid w:val="002F6109"/>
    <w:rsid w:val="002F72F9"/>
    <w:rsid w:val="00305870"/>
    <w:rsid w:val="00307AA9"/>
    <w:rsid w:val="00310047"/>
    <w:rsid w:val="003146FA"/>
    <w:rsid w:val="003148B8"/>
    <w:rsid w:val="00316E6B"/>
    <w:rsid w:val="00321B71"/>
    <w:rsid w:val="00321E92"/>
    <w:rsid w:val="00322D5F"/>
    <w:rsid w:val="00323C89"/>
    <w:rsid w:val="0032611D"/>
    <w:rsid w:val="00330576"/>
    <w:rsid w:val="00332550"/>
    <w:rsid w:val="0033273C"/>
    <w:rsid w:val="00332E51"/>
    <w:rsid w:val="00341058"/>
    <w:rsid w:val="00341481"/>
    <w:rsid w:val="00341DD1"/>
    <w:rsid w:val="00345D04"/>
    <w:rsid w:val="0034714F"/>
    <w:rsid w:val="00352EDC"/>
    <w:rsid w:val="0035495C"/>
    <w:rsid w:val="00357205"/>
    <w:rsid w:val="0036078B"/>
    <w:rsid w:val="00362085"/>
    <w:rsid w:val="00366F22"/>
    <w:rsid w:val="00370B88"/>
    <w:rsid w:val="003778E7"/>
    <w:rsid w:val="00380AE5"/>
    <w:rsid w:val="00382C51"/>
    <w:rsid w:val="0038516E"/>
    <w:rsid w:val="0038582C"/>
    <w:rsid w:val="00386348"/>
    <w:rsid w:val="00393F88"/>
    <w:rsid w:val="003B0A35"/>
    <w:rsid w:val="003B2C94"/>
    <w:rsid w:val="003B338F"/>
    <w:rsid w:val="003B3D15"/>
    <w:rsid w:val="003C6628"/>
    <w:rsid w:val="003C7720"/>
    <w:rsid w:val="003D30D1"/>
    <w:rsid w:val="003D3BC9"/>
    <w:rsid w:val="003D6834"/>
    <w:rsid w:val="003D7B34"/>
    <w:rsid w:val="003E653A"/>
    <w:rsid w:val="003F1AD0"/>
    <w:rsid w:val="003F4DFB"/>
    <w:rsid w:val="00400BD5"/>
    <w:rsid w:val="00410B41"/>
    <w:rsid w:val="00412E34"/>
    <w:rsid w:val="00414446"/>
    <w:rsid w:val="00415738"/>
    <w:rsid w:val="004255EF"/>
    <w:rsid w:val="00433CD1"/>
    <w:rsid w:val="00435C28"/>
    <w:rsid w:val="0043628B"/>
    <w:rsid w:val="00436B3B"/>
    <w:rsid w:val="004416FB"/>
    <w:rsid w:val="004417ED"/>
    <w:rsid w:val="00446B0D"/>
    <w:rsid w:val="004512CA"/>
    <w:rsid w:val="00461C03"/>
    <w:rsid w:val="004623B8"/>
    <w:rsid w:val="00463F53"/>
    <w:rsid w:val="00464DFC"/>
    <w:rsid w:val="004659CF"/>
    <w:rsid w:val="0047196A"/>
    <w:rsid w:val="00475981"/>
    <w:rsid w:val="00476D05"/>
    <w:rsid w:val="00480370"/>
    <w:rsid w:val="00484D12"/>
    <w:rsid w:val="00485159"/>
    <w:rsid w:val="00485514"/>
    <w:rsid w:val="004A1CC5"/>
    <w:rsid w:val="004A2C98"/>
    <w:rsid w:val="004A62F6"/>
    <w:rsid w:val="004B3F03"/>
    <w:rsid w:val="004B4006"/>
    <w:rsid w:val="004B79B1"/>
    <w:rsid w:val="004C63F8"/>
    <w:rsid w:val="004D036C"/>
    <w:rsid w:val="004D32F5"/>
    <w:rsid w:val="004D6C20"/>
    <w:rsid w:val="004E083E"/>
    <w:rsid w:val="004E2953"/>
    <w:rsid w:val="004E39F2"/>
    <w:rsid w:val="004F667C"/>
    <w:rsid w:val="0050038F"/>
    <w:rsid w:val="00502364"/>
    <w:rsid w:val="00503445"/>
    <w:rsid w:val="005143BE"/>
    <w:rsid w:val="005145A4"/>
    <w:rsid w:val="0051544A"/>
    <w:rsid w:val="00521E5D"/>
    <w:rsid w:val="00531BEC"/>
    <w:rsid w:val="00532589"/>
    <w:rsid w:val="00533981"/>
    <w:rsid w:val="005374B6"/>
    <w:rsid w:val="005423C7"/>
    <w:rsid w:val="00544C56"/>
    <w:rsid w:val="00545C02"/>
    <w:rsid w:val="0054632F"/>
    <w:rsid w:val="00554CCD"/>
    <w:rsid w:val="00554E56"/>
    <w:rsid w:val="00567694"/>
    <w:rsid w:val="00570661"/>
    <w:rsid w:val="0058482B"/>
    <w:rsid w:val="005A068D"/>
    <w:rsid w:val="005B02CE"/>
    <w:rsid w:val="005B27EE"/>
    <w:rsid w:val="005C34DB"/>
    <w:rsid w:val="005D1CE8"/>
    <w:rsid w:val="005D3496"/>
    <w:rsid w:val="005D3F3E"/>
    <w:rsid w:val="005D6DA4"/>
    <w:rsid w:val="005E28DD"/>
    <w:rsid w:val="005E3322"/>
    <w:rsid w:val="005F020E"/>
    <w:rsid w:val="005F0C2F"/>
    <w:rsid w:val="005F10BF"/>
    <w:rsid w:val="005F17A0"/>
    <w:rsid w:val="005F1E65"/>
    <w:rsid w:val="005F50E0"/>
    <w:rsid w:val="00600C3C"/>
    <w:rsid w:val="00601805"/>
    <w:rsid w:val="00604815"/>
    <w:rsid w:val="00607B80"/>
    <w:rsid w:val="00616459"/>
    <w:rsid w:val="00620D6B"/>
    <w:rsid w:val="006214BE"/>
    <w:rsid w:val="00624424"/>
    <w:rsid w:val="00627296"/>
    <w:rsid w:val="00636330"/>
    <w:rsid w:val="00636CDB"/>
    <w:rsid w:val="00640ECE"/>
    <w:rsid w:val="0064141E"/>
    <w:rsid w:val="00643830"/>
    <w:rsid w:val="006467D2"/>
    <w:rsid w:val="00656A5A"/>
    <w:rsid w:val="00664329"/>
    <w:rsid w:val="006657E6"/>
    <w:rsid w:val="0066780A"/>
    <w:rsid w:val="0067369F"/>
    <w:rsid w:val="00673DFA"/>
    <w:rsid w:val="00675418"/>
    <w:rsid w:val="0068170E"/>
    <w:rsid w:val="006873E4"/>
    <w:rsid w:val="00693D48"/>
    <w:rsid w:val="006957B4"/>
    <w:rsid w:val="006A1DBC"/>
    <w:rsid w:val="006B3BAD"/>
    <w:rsid w:val="006C69EC"/>
    <w:rsid w:val="006D0536"/>
    <w:rsid w:val="006D2A98"/>
    <w:rsid w:val="006D3DA2"/>
    <w:rsid w:val="006D54DB"/>
    <w:rsid w:val="006E13EA"/>
    <w:rsid w:val="006E537B"/>
    <w:rsid w:val="006F5EC1"/>
    <w:rsid w:val="00703726"/>
    <w:rsid w:val="00703A53"/>
    <w:rsid w:val="00711F55"/>
    <w:rsid w:val="0071391B"/>
    <w:rsid w:val="00713E2B"/>
    <w:rsid w:val="00714439"/>
    <w:rsid w:val="007158D2"/>
    <w:rsid w:val="00731107"/>
    <w:rsid w:val="00733359"/>
    <w:rsid w:val="00736329"/>
    <w:rsid w:val="00745BDC"/>
    <w:rsid w:val="007461C2"/>
    <w:rsid w:val="0077492E"/>
    <w:rsid w:val="00780EC4"/>
    <w:rsid w:val="00791C29"/>
    <w:rsid w:val="00792B87"/>
    <w:rsid w:val="007969D8"/>
    <w:rsid w:val="0079763F"/>
    <w:rsid w:val="007A231F"/>
    <w:rsid w:val="007A2567"/>
    <w:rsid w:val="007A2FB1"/>
    <w:rsid w:val="007A66B9"/>
    <w:rsid w:val="007A6CEF"/>
    <w:rsid w:val="007B0FA2"/>
    <w:rsid w:val="007C062E"/>
    <w:rsid w:val="007D45E0"/>
    <w:rsid w:val="007E58CD"/>
    <w:rsid w:val="007E703C"/>
    <w:rsid w:val="007F0398"/>
    <w:rsid w:val="007F22BB"/>
    <w:rsid w:val="007F2791"/>
    <w:rsid w:val="007F38C2"/>
    <w:rsid w:val="008026B0"/>
    <w:rsid w:val="008045E8"/>
    <w:rsid w:val="00811877"/>
    <w:rsid w:val="0081255A"/>
    <w:rsid w:val="00812815"/>
    <w:rsid w:val="0081520C"/>
    <w:rsid w:val="00826B14"/>
    <w:rsid w:val="008301CC"/>
    <w:rsid w:val="00830A2D"/>
    <w:rsid w:val="008314AF"/>
    <w:rsid w:val="00831640"/>
    <w:rsid w:val="0083349A"/>
    <w:rsid w:val="008516A2"/>
    <w:rsid w:val="00852A7A"/>
    <w:rsid w:val="00854692"/>
    <w:rsid w:val="0085652D"/>
    <w:rsid w:val="00863416"/>
    <w:rsid w:val="00863FD8"/>
    <w:rsid w:val="00871394"/>
    <w:rsid w:val="0088663D"/>
    <w:rsid w:val="008902FC"/>
    <w:rsid w:val="00891EDD"/>
    <w:rsid w:val="0089294D"/>
    <w:rsid w:val="00894CEE"/>
    <w:rsid w:val="00895276"/>
    <w:rsid w:val="00896B14"/>
    <w:rsid w:val="008B0958"/>
    <w:rsid w:val="008B38B7"/>
    <w:rsid w:val="008C01CD"/>
    <w:rsid w:val="008C0207"/>
    <w:rsid w:val="008C2E78"/>
    <w:rsid w:val="008C49F8"/>
    <w:rsid w:val="008C4D25"/>
    <w:rsid w:val="008D4EF2"/>
    <w:rsid w:val="008E1347"/>
    <w:rsid w:val="008E7EE9"/>
    <w:rsid w:val="008E7F88"/>
    <w:rsid w:val="008F3AC6"/>
    <w:rsid w:val="008F6BB6"/>
    <w:rsid w:val="00905F4A"/>
    <w:rsid w:val="0090618C"/>
    <w:rsid w:val="009100B1"/>
    <w:rsid w:val="00911E3F"/>
    <w:rsid w:val="00913276"/>
    <w:rsid w:val="00920D07"/>
    <w:rsid w:val="00924F8F"/>
    <w:rsid w:val="009332E8"/>
    <w:rsid w:val="00954041"/>
    <w:rsid w:val="00962AC0"/>
    <w:rsid w:val="00963BB8"/>
    <w:rsid w:val="009661DD"/>
    <w:rsid w:val="0097448C"/>
    <w:rsid w:val="00980574"/>
    <w:rsid w:val="00981C5E"/>
    <w:rsid w:val="0098782B"/>
    <w:rsid w:val="00990C08"/>
    <w:rsid w:val="00992A34"/>
    <w:rsid w:val="00992D2B"/>
    <w:rsid w:val="00993B81"/>
    <w:rsid w:val="00994148"/>
    <w:rsid w:val="009A1F3A"/>
    <w:rsid w:val="009A5721"/>
    <w:rsid w:val="009C0D0B"/>
    <w:rsid w:val="009C116F"/>
    <w:rsid w:val="009C52FA"/>
    <w:rsid w:val="009D6314"/>
    <w:rsid w:val="009E0A04"/>
    <w:rsid w:val="009E40CA"/>
    <w:rsid w:val="009E4F04"/>
    <w:rsid w:val="009E7B30"/>
    <w:rsid w:val="009F1F9F"/>
    <w:rsid w:val="00A02A85"/>
    <w:rsid w:val="00A10553"/>
    <w:rsid w:val="00A134F7"/>
    <w:rsid w:val="00A214B1"/>
    <w:rsid w:val="00A23196"/>
    <w:rsid w:val="00A2342F"/>
    <w:rsid w:val="00A23B74"/>
    <w:rsid w:val="00A34357"/>
    <w:rsid w:val="00A357AE"/>
    <w:rsid w:val="00A403C3"/>
    <w:rsid w:val="00A42EB3"/>
    <w:rsid w:val="00A44CDB"/>
    <w:rsid w:val="00A55EA2"/>
    <w:rsid w:val="00A579F1"/>
    <w:rsid w:val="00A647BC"/>
    <w:rsid w:val="00A66E77"/>
    <w:rsid w:val="00A6731B"/>
    <w:rsid w:val="00A72D93"/>
    <w:rsid w:val="00A7677C"/>
    <w:rsid w:val="00A76C35"/>
    <w:rsid w:val="00A831C0"/>
    <w:rsid w:val="00A85FFA"/>
    <w:rsid w:val="00A87414"/>
    <w:rsid w:val="00A87EF1"/>
    <w:rsid w:val="00A91154"/>
    <w:rsid w:val="00A93770"/>
    <w:rsid w:val="00A94C39"/>
    <w:rsid w:val="00AA0941"/>
    <w:rsid w:val="00AA2833"/>
    <w:rsid w:val="00AA522E"/>
    <w:rsid w:val="00AB5594"/>
    <w:rsid w:val="00AC1314"/>
    <w:rsid w:val="00AD079D"/>
    <w:rsid w:val="00AD3C51"/>
    <w:rsid w:val="00AD468E"/>
    <w:rsid w:val="00AD610F"/>
    <w:rsid w:val="00AE03C4"/>
    <w:rsid w:val="00AE0474"/>
    <w:rsid w:val="00AE615A"/>
    <w:rsid w:val="00AE7645"/>
    <w:rsid w:val="00AF4ACC"/>
    <w:rsid w:val="00AF6FF2"/>
    <w:rsid w:val="00AF7059"/>
    <w:rsid w:val="00B02CB3"/>
    <w:rsid w:val="00B06F2B"/>
    <w:rsid w:val="00B07674"/>
    <w:rsid w:val="00B07B45"/>
    <w:rsid w:val="00B07CC8"/>
    <w:rsid w:val="00B07CF1"/>
    <w:rsid w:val="00B116CF"/>
    <w:rsid w:val="00B148D6"/>
    <w:rsid w:val="00B16D8B"/>
    <w:rsid w:val="00B34C98"/>
    <w:rsid w:val="00B37249"/>
    <w:rsid w:val="00B55A53"/>
    <w:rsid w:val="00B57C5E"/>
    <w:rsid w:val="00B613C9"/>
    <w:rsid w:val="00B715E2"/>
    <w:rsid w:val="00B75ACC"/>
    <w:rsid w:val="00B77275"/>
    <w:rsid w:val="00B87D84"/>
    <w:rsid w:val="00B90F50"/>
    <w:rsid w:val="00BA1E92"/>
    <w:rsid w:val="00BA38C4"/>
    <w:rsid w:val="00BA3DD5"/>
    <w:rsid w:val="00BA5980"/>
    <w:rsid w:val="00BA754F"/>
    <w:rsid w:val="00BA7C91"/>
    <w:rsid w:val="00BB0CF3"/>
    <w:rsid w:val="00BD203B"/>
    <w:rsid w:val="00BD3CD5"/>
    <w:rsid w:val="00BD430C"/>
    <w:rsid w:val="00BE4CB5"/>
    <w:rsid w:val="00BE651D"/>
    <w:rsid w:val="00BE7175"/>
    <w:rsid w:val="00BF18AE"/>
    <w:rsid w:val="00BF4582"/>
    <w:rsid w:val="00BF72A2"/>
    <w:rsid w:val="00C059D5"/>
    <w:rsid w:val="00C13A49"/>
    <w:rsid w:val="00C14455"/>
    <w:rsid w:val="00C14686"/>
    <w:rsid w:val="00C237C5"/>
    <w:rsid w:val="00C30F6F"/>
    <w:rsid w:val="00C32C7A"/>
    <w:rsid w:val="00C34EE8"/>
    <w:rsid w:val="00C358B0"/>
    <w:rsid w:val="00C40F67"/>
    <w:rsid w:val="00C43CD9"/>
    <w:rsid w:val="00C60424"/>
    <w:rsid w:val="00C60E2C"/>
    <w:rsid w:val="00C62B5F"/>
    <w:rsid w:val="00C631BD"/>
    <w:rsid w:val="00C631BE"/>
    <w:rsid w:val="00C70A20"/>
    <w:rsid w:val="00C72853"/>
    <w:rsid w:val="00C74992"/>
    <w:rsid w:val="00C76208"/>
    <w:rsid w:val="00C8292E"/>
    <w:rsid w:val="00C84329"/>
    <w:rsid w:val="00C85137"/>
    <w:rsid w:val="00C918AA"/>
    <w:rsid w:val="00C94A13"/>
    <w:rsid w:val="00CB64B3"/>
    <w:rsid w:val="00CC0DF4"/>
    <w:rsid w:val="00CC1ECD"/>
    <w:rsid w:val="00CC3BFB"/>
    <w:rsid w:val="00CC631F"/>
    <w:rsid w:val="00CD349D"/>
    <w:rsid w:val="00CD43B9"/>
    <w:rsid w:val="00CD668F"/>
    <w:rsid w:val="00CE24D6"/>
    <w:rsid w:val="00D12756"/>
    <w:rsid w:val="00D1365A"/>
    <w:rsid w:val="00D275B4"/>
    <w:rsid w:val="00D3247F"/>
    <w:rsid w:val="00D32A6F"/>
    <w:rsid w:val="00D4093A"/>
    <w:rsid w:val="00D415C5"/>
    <w:rsid w:val="00D41E92"/>
    <w:rsid w:val="00D42272"/>
    <w:rsid w:val="00D47508"/>
    <w:rsid w:val="00D51FC3"/>
    <w:rsid w:val="00D55AFC"/>
    <w:rsid w:val="00D57C42"/>
    <w:rsid w:val="00D631A1"/>
    <w:rsid w:val="00D63B20"/>
    <w:rsid w:val="00D75104"/>
    <w:rsid w:val="00D82B4D"/>
    <w:rsid w:val="00D90A63"/>
    <w:rsid w:val="00DA44B0"/>
    <w:rsid w:val="00DA73C9"/>
    <w:rsid w:val="00DC3932"/>
    <w:rsid w:val="00DD3769"/>
    <w:rsid w:val="00DD4906"/>
    <w:rsid w:val="00DE2B17"/>
    <w:rsid w:val="00DE2CA7"/>
    <w:rsid w:val="00DE3091"/>
    <w:rsid w:val="00DE451F"/>
    <w:rsid w:val="00DF33AE"/>
    <w:rsid w:val="00DF5657"/>
    <w:rsid w:val="00E001C3"/>
    <w:rsid w:val="00E03B9C"/>
    <w:rsid w:val="00E158FE"/>
    <w:rsid w:val="00E17B1A"/>
    <w:rsid w:val="00E250C9"/>
    <w:rsid w:val="00E271D5"/>
    <w:rsid w:val="00E40371"/>
    <w:rsid w:val="00E43E83"/>
    <w:rsid w:val="00E5018E"/>
    <w:rsid w:val="00E5494B"/>
    <w:rsid w:val="00E56028"/>
    <w:rsid w:val="00E62C13"/>
    <w:rsid w:val="00E678A1"/>
    <w:rsid w:val="00E7063F"/>
    <w:rsid w:val="00E75229"/>
    <w:rsid w:val="00E75AD7"/>
    <w:rsid w:val="00E76301"/>
    <w:rsid w:val="00E766FB"/>
    <w:rsid w:val="00E87C98"/>
    <w:rsid w:val="00E90711"/>
    <w:rsid w:val="00E93B33"/>
    <w:rsid w:val="00E965B5"/>
    <w:rsid w:val="00E9694E"/>
    <w:rsid w:val="00EA6E40"/>
    <w:rsid w:val="00EB1484"/>
    <w:rsid w:val="00EB7D45"/>
    <w:rsid w:val="00EC16CC"/>
    <w:rsid w:val="00EC41F1"/>
    <w:rsid w:val="00EC4C27"/>
    <w:rsid w:val="00EC5E8F"/>
    <w:rsid w:val="00ED3BAC"/>
    <w:rsid w:val="00EE0546"/>
    <w:rsid w:val="00EE147F"/>
    <w:rsid w:val="00EE34FE"/>
    <w:rsid w:val="00EF1704"/>
    <w:rsid w:val="00EF3304"/>
    <w:rsid w:val="00F0284B"/>
    <w:rsid w:val="00F059FE"/>
    <w:rsid w:val="00F131A7"/>
    <w:rsid w:val="00F166D8"/>
    <w:rsid w:val="00F16BAA"/>
    <w:rsid w:val="00F2082A"/>
    <w:rsid w:val="00F267AC"/>
    <w:rsid w:val="00F3087F"/>
    <w:rsid w:val="00F30A68"/>
    <w:rsid w:val="00F31B39"/>
    <w:rsid w:val="00F31B76"/>
    <w:rsid w:val="00F432B8"/>
    <w:rsid w:val="00F45B89"/>
    <w:rsid w:val="00F46CA4"/>
    <w:rsid w:val="00F52253"/>
    <w:rsid w:val="00F57995"/>
    <w:rsid w:val="00F67381"/>
    <w:rsid w:val="00F739E2"/>
    <w:rsid w:val="00F73C87"/>
    <w:rsid w:val="00F76961"/>
    <w:rsid w:val="00F80A75"/>
    <w:rsid w:val="00F826F5"/>
    <w:rsid w:val="00F82B76"/>
    <w:rsid w:val="00F9170D"/>
    <w:rsid w:val="00F957D6"/>
    <w:rsid w:val="00F96A23"/>
    <w:rsid w:val="00FA560B"/>
    <w:rsid w:val="00FA6FB3"/>
    <w:rsid w:val="00FB7844"/>
    <w:rsid w:val="00FB7F34"/>
    <w:rsid w:val="00FC40F4"/>
    <w:rsid w:val="00FD33E3"/>
    <w:rsid w:val="00FD62B3"/>
    <w:rsid w:val="00FE0A5B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highlight">
    <w:name w:val="highlight"/>
    <w:basedOn w:val="Absatz-Standardschriftart"/>
    <w:rsid w:val="0098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l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s-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l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vermann@ars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dl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30923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5F5D-5D48-4DA9-B30D-101F6A33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Neues IDL-Release setzt Maßstäbe im BPM (IDL) Pressemeldung vom 17.09.2013</vt:lpstr>
      <vt:lpstr>Neues IDL-Release setzt Maßstäbe im BPM (IDL) Pressemeldung vom</vt:lpstr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Lünendonk bestätigt Marktposition von IDLLünendonk bestätigt Marktposition von IDL (IDL) Kurzmeldung vom 23.09.2013</dc:title>
  <dc:creator>Martina Overmann</dc:creator>
  <cp:lastModifiedBy>ssturm</cp:lastModifiedBy>
  <cp:revision>2</cp:revision>
  <cp:lastPrinted>2013-09-01T13:16:00Z</cp:lastPrinted>
  <dcterms:created xsi:type="dcterms:W3CDTF">2013-09-19T09:49:00Z</dcterms:created>
  <dcterms:modified xsi:type="dcterms:W3CDTF">2013-09-19T09:49:00Z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1951321847</vt:i4>
  </property>
  <property fmtid="{D5CDD505-2E9C-101B-9397-08002B2CF9AE}" pid="3" name="_EmailSubject">
    <vt:lpwstr>Pressenotiz_Januar2007_IDL_Projekt_final.doc</vt:lpwstr>
  </property>
  <property fmtid="{D5CDD505-2E9C-101B-9397-08002B2CF9AE}" pid="4" name="_AuthorEmail">
    <vt:lpwstr>text@tinaskulima.de</vt:lpwstr>
  </property>
  <property fmtid="{D5CDD505-2E9C-101B-9397-08002B2CF9AE}" pid="5" name="_AuthorEmailDisplayName">
    <vt:lpwstr>Tina Skulima | Text &amp;  Konzept</vt:lpwstr>
  </property>
  <property fmtid="{D5CDD505-2E9C-101B-9397-08002B2CF9AE}" pid="6" name="_ReviewingToolsShownOnce">
    <vt:lpwstr/>
  </property>
</Properties>
</file>