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6D3F3" w14:textId="09F72979" w:rsidR="00831121" w:rsidRPr="00951307" w:rsidRDefault="00831121" w:rsidP="00831121">
      <w:pPr>
        <w:spacing w:after="0"/>
        <w:jc w:val="center"/>
        <w:rPr>
          <w:rFonts w:asciiTheme="minorHAnsi" w:hAnsiTheme="minorHAnsi" w:cstheme="minorHAnsi"/>
          <w:sz w:val="28"/>
          <w:szCs w:val="28"/>
        </w:rPr>
      </w:pPr>
      <w:r w:rsidRPr="00951307">
        <w:rPr>
          <w:rFonts w:asciiTheme="minorHAnsi" w:hAnsiTheme="minorHAnsi" w:cstheme="minorHAnsi"/>
          <w:sz w:val="28"/>
          <w:szCs w:val="28"/>
        </w:rPr>
        <w:t xml:space="preserve">Allgemeine Informationen zum </w:t>
      </w:r>
      <w:r w:rsidR="000E6DC7" w:rsidRPr="00951307">
        <w:rPr>
          <w:rFonts w:asciiTheme="minorHAnsi" w:hAnsiTheme="minorHAnsi" w:cstheme="minorHAnsi"/>
          <w:sz w:val="28"/>
          <w:szCs w:val="28"/>
        </w:rPr>
        <w:t>Stiftungsgeschäft</w:t>
      </w:r>
    </w:p>
    <w:p w14:paraId="4681AAEE" w14:textId="77777777" w:rsidR="00831121" w:rsidRPr="00951307" w:rsidRDefault="00831121" w:rsidP="00831121">
      <w:pPr>
        <w:spacing w:after="0"/>
        <w:rPr>
          <w:rFonts w:asciiTheme="minorHAnsi" w:hAnsiTheme="minorHAnsi" w:cstheme="minorHAnsi"/>
          <w:u w:val="single"/>
        </w:rPr>
      </w:pPr>
    </w:p>
    <w:p w14:paraId="77874F23"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Grundsätzliches</w:t>
      </w:r>
    </w:p>
    <w:p w14:paraId="1CF3FA63" w14:textId="77777777" w:rsidR="00831121" w:rsidRPr="00951307" w:rsidRDefault="00831121" w:rsidP="00831121">
      <w:pPr>
        <w:spacing w:after="0"/>
        <w:rPr>
          <w:rFonts w:asciiTheme="minorHAnsi" w:hAnsiTheme="minorHAnsi" w:cstheme="minorHAnsi"/>
          <w:u w:val="single"/>
        </w:rPr>
      </w:pPr>
    </w:p>
    <w:p w14:paraId="56D9676E"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Die Daniel-Theysohn-Stiftung ist eine private Stiftung des bürgerlichen Rechts.</w:t>
      </w:r>
    </w:p>
    <w:p w14:paraId="6D61BB07"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Das Vermögen wurde vom Stifterehepaar zur Verfügung gestellt, verbunden mit dem Willen, es für die von ihnen genannten Zwecke zu verwenden.</w:t>
      </w:r>
    </w:p>
    <w:p w14:paraId="5950F41A"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Für das Handeln des Stiftungsvorstandes ist der Stifterwille oberstes Gebot. Er handelt deshalb immer nach den Vorgaben von Stifterwille, Satzung und Recht.</w:t>
      </w:r>
    </w:p>
    <w:p w14:paraId="11B16D54"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Kontrollorgane sind:</w:t>
      </w:r>
    </w:p>
    <w:p w14:paraId="5EBBE7DC" w14:textId="28139554" w:rsidR="00831121" w:rsidRPr="00951307" w:rsidRDefault="008D184E" w:rsidP="00831121">
      <w:pPr>
        <w:numPr>
          <w:ilvl w:val="1"/>
          <w:numId w:val="1"/>
        </w:numPr>
        <w:spacing w:after="0"/>
        <w:rPr>
          <w:rFonts w:asciiTheme="minorHAnsi" w:hAnsiTheme="minorHAnsi" w:cstheme="minorHAnsi"/>
        </w:rPr>
      </w:pPr>
      <w:r w:rsidRPr="00951307">
        <w:rPr>
          <w:rFonts w:asciiTheme="minorHAnsi" w:hAnsiTheme="minorHAnsi" w:cstheme="minorHAnsi"/>
        </w:rPr>
        <w:t>D</w:t>
      </w:r>
      <w:r w:rsidR="00831121" w:rsidRPr="00951307">
        <w:rPr>
          <w:rFonts w:asciiTheme="minorHAnsi" w:hAnsiTheme="minorHAnsi" w:cstheme="minorHAnsi"/>
        </w:rPr>
        <w:t>ie ADD Trier als untere Stiftungsaufsicht (Kapitalerhalt)</w:t>
      </w:r>
      <w:r w:rsidRPr="00951307">
        <w:rPr>
          <w:rFonts w:asciiTheme="minorHAnsi" w:hAnsiTheme="minorHAnsi" w:cstheme="minorHAnsi"/>
        </w:rPr>
        <w:t>.</w:t>
      </w:r>
    </w:p>
    <w:p w14:paraId="69BAD389" w14:textId="0F7781A8" w:rsidR="00831121" w:rsidRPr="00951307" w:rsidRDefault="008D184E" w:rsidP="00831121">
      <w:pPr>
        <w:numPr>
          <w:ilvl w:val="1"/>
          <w:numId w:val="1"/>
        </w:numPr>
        <w:spacing w:after="0"/>
        <w:rPr>
          <w:rFonts w:asciiTheme="minorHAnsi" w:hAnsiTheme="minorHAnsi" w:cstheme="minorHAnsi"/>
        </w:rPr>
      </w:pPr>
      <w:r w:rsidRPr="00951307">
        <w:rPr>
          <w:rFonts w:asciiTheme="minorHAnsi" w:hAnsiTheme="minorHAnsi" w:cstheme="minorHAnsi"/>
        </w:rPr>
        <w:t>D</w:t>
      </w:r>
      <w:r w:rsidR="00831121" w:rsidRPr="00951307">
        <w:rPr>
          <w:rFonts w:asciiTheme="minorHAnsi" w:hAnsiTheme="minorHAnsi" w:cstheme="minorHAnsi"/>
        </w:rPr>
        <w:t>as Finanzamt Pirmasens als Finanzaufsicht (Bedienung der Stiftungszwecke und Gemeinnützigkeit)</w:t>
      </w:r>
      <w:r w:rsidRPr="00951307">
        <w:rPr>
          <w:rFonts w:asciiTheme="minorHAnsi" w:hAnsiTheme="minorHAnsi" w:cstheme="minorHAnsi"/>
        </w:rPr>
        <w:t>.</w:t>
      </w:r>
    </w:p>
    <w:p w14:paraId="3F522F32"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Darüber hinaus ist der Stiftungsvorstand in seinen Entscheidungen absolut frei.</w:t>
      </w:r>
    </w:p>
    <w:p w14:paraId="4EE977BE" w14:textId="77777777" w:rsidR="00831121" w:rsidRPr="00951307" w:rsidRDefault="00831121" w:rsidP="00831121">
      <w:pPr>
        <w:numPr>
          <w:ilvl w:val="0"/>
          <w:numId w:val="1"/>
        </w:numPr>
        <w:spacing w:after="0"/>
        <w:rPr>
          <w:rFonts w:asciiTheme="minorHAnsi" w:hAnsiTheme="minorHAnsi" w:cstheme="minorHAnsi"/>
        </w:rPr>
      </w:pPr>
      <w:r w:rsidRPr="00951307">
        <w:rPr>
          <w:rFonts w:asciiTheme="minorHAnsi" w:hAnsiTheme="minorHAnsi" w:cstheme="minorHAnsi"/>
        </w:rPr>
        <w:t>Ein Rechtsanspruch auf Förderung besteht für niemand.</w:t>
      </w:r>
    </w:p>
    <w:p w14:paraId="6DA3810C" w14:textId="77777777" w:rsidR="00831121" w:rsidRPr="00951307" w:rsidRDefault="00831121" w:rsidP="00831121">
      <w:pPr>
        <w:spacing w:after="0"/>
        <w:rPr>
          <w:rFonts w:asciiTheme="minorHAnsi" w:hAnsiTheme="minorHAnsi" w:cstheme="minorHAnsi"/>
        </w:rPr>
      </w:pPr>
    </w:p>
    <w:p w14:paraId="349A9F13" w14:textId="77777777" w:rsidR="00831121" w:rsidRPr="00951307" w:rsidRDefault="00831121" w:rsidP="00831121">
      <w:pPr>
        <w:spacing w:after="0"/>
        <w:rPr>
          <w:rFonts w:asciiTheme="minorHAnsi" w:hAnsiTheme="minorHAnsi" w:cstheme="minorHAnsi"/>
        </w:rPr>
      </w:pPr>
    </w:p>
    <w:p w14:paraId="2AD55D2B"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 xml:space="preserve"> Vermögensverwaltung</w:t>
      </w:r>
    </w:p>
    <w:p w14:paraId="5663F61D" w14:textId="77777777" w:rsidR="00831121" w:rsidRPr="00951307" w:rsidRDefault="00831121" w:rsidP="00831121">
      <w:pPr>
        <w:spacing w:after="0"/>
        <w:rPr>
          <w:rFonts w:asciiTheme="minorHAnsi" w:hAnsiTheme="minorHAnsi" w:cstheme="minorHAnsi"/>
        </w:rPr>
      </w:pPr>
    </w:p>
    <w:p w14:paraId="53E598EA" w14:textId="6EFE043F"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 xml:space="preserve">Das Vermögen der Stiftung ist hauptsächlich </w:t>
      </w:r>
      <w:r w:rsidR="003F77D4" w:rsidRPr="00951307">
        <w:rPr>
          <w:rFonts w:asciiTheme="minorHAnsi" w:hAnsiTheme="minorHAnsi" w:cstheme="minorHAnsi"/>
        </w:rPr>
        <w:t>am Finanzmarkt angelegt.</w:t>
      </w:r>
    </w:p>
    <w:p w14:paraId="2A2835CE" w14:textId="77777777"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Anlageform ist ein eigener Spezialfonds, bestehend aus drei eigenständigen Segmenten, die von drei verschiedenen Vermögensverwaltern nach den Grundsätzen größtmöglicher kaufmännischer Vorsicht möglichst sicher, wertsteigernd und ertragreich gemanagt werden.</w:t>
      </w:r>
    </w:p>
    <w:p w14:paraId="63A4EFC8" w14:textId="77777777"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Die Verwaltung des Masterfonds erfolgt durch eine Kapitalverwaltungsgesellschaft (KVG).</w:t>
      </w:r>
    </w:p>
    <w:p w14:paraId="498FC497" w14:textId="77777777"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Die Prüfung der Spezialfonds und des Masterfonds erfolgt durch eine große Wirtschaftsprüfungsgesellschaft.</w:t>
      </w:r>
    </w:p>
    <w:p w14:paraId="2B75B524" w14:textId="77777777"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Die Stiftung hat den Managern Anlagerichtlinien (</w:t>
      </w:r>
      <w:proofErr w:type="spellStart"/>
      <w:r w:rsidRPr="00951307">
        <w:rPr>
          <w:rFonts w:asciiTheme="minorHAnsi" w:hAnsiTheme="minorHAnsi" w:cstheme="minorHAnsi"/>
        </w:rPr>
        <w:t>AnlRl</w:t>
      </w:r>
      <w:proofErr w:type="spellEnd"/>
      <w:r w:rsidRPr="00951307">
        <w:rPr>
          <w:rFonts w:asciiTheme="minorHAnsi" w:hAnsiTheme="minorHAnsi" w:cstheme="minorHAnsi"/>
        </w:rPr>
        <w:t xml:space="preserve">) vorgegeben, in denen eine vorsichtige Strategie verfolgt wird und deren Einhaltung von der KVG überwacht wird. Die </w:t>
      </w:r>
      <w:proofErr w:type="spellStart"/>
      <w:r w:rsidRPr="00951307">
        <w:rPr>
          <w:rFonts w:asciiTheme="minorHAnsi" w:hAnsiTheme="minorHAnsi" w:cstheme="minorHAnsi"/>
        </w:rPr>
        <w:t>AnlRl</w:t>
      </w:r>
      <w:proofErr w:type="spellEnd"/>
      <w:r w:rsidRPr="00951307">
        <w:rPr>
          <w:rFonts w:asciiTheme="minorHAnsi" w:hAnsiTheme="minorHAnsi" w:cstheme="minorHAnsi"/>
        </w:rPr>
        <w:t xml:space="preserve"> werden ständig vom Vorstand der Stiftung beobachtet und ggfs. nach Beratung mit den Managern an veränderte Marktbedingungen angepasst.</w:t>
      </w:r>
    </w:p>
    <w:p w14:paraId="5DB2E936" w14:textId="61A92CB1" w:rsidR="00831121" w:rsidRPr="00951307" w:rsidRDefault="00831121" w:rsidP="00831121">
      <w:pPr>
        <w:numPr>
          <w:ilvl w:val="0"/>
          <w:numId w:val="3"/>
        </w:numPr>
        <w:spacing w:after="0"/>
        <w:rPr>
          <w:rFonts w:asciiTheme="minorHAnsi" w:hAnsiTheme="minorHAnsi" w:cstheme="minorHAnsi"/>
        </w:rPr>
      </w:pPr>
      <w:r w:rsidRPr="00951307">
        <w:rPr>
          <w:rFonts w:asciiTheme="minorHAnsi" w:hAnsiTheme="minorHAnsi" w:cstheme="minorHAnsi"/>
        </w:rPr>
        <w:t xml:space="preserve">Neben den Anlagen in Aktien und Rentenpapieren ist die Stiftung zur weiteren Diversifikation </w:t>
      </w:r>
      <w:r w:rsidR="003F77D4" w:rsidRPr="00951307">
        <w:rPr>
          <w:rFonts w:asciiTheme="minorHAnsi" w:hAnsiTheme="minorHAnsi" w:cstheme="minorHAnsi"/>
        </w:rPr>
        <w:t>in</w:t>
      </w:r>
      <w:r w:rsidRPr="00951307">
        <w:rPr>
          <w:rFonts w:asciiTheme="minorHAnsi" w:hAnsiTheme="minorHAnsi" w:cstheme="minorHAnsi"/>
        </w:rPr>
        <w:t xml:space="preserve"> mehrere</w:t>
      </w:r>
      <w:r w:rsidR="003F77D4" w:rsidRPr="00951307">
        <w:rPr>
          <w:rFonts w:asciiTheme="minorHAnsi" w:hAnsiTheme="minorHAnsi" w:cstheme="minorHAnsi"/>
        </w:rPr>
        <w:t xml:space="preserve"> Immobilien- und sonstigen Investmentbeteiligungen eingebunden</w:t>
      </w:r>
      <w:r w:rsidRPr="00951307">
        <w:rPr>
          <w:rFonts w:asciiTheme="minorHAnsi" w:hAnsiTheme="minorHAnsi" w:cstheme="minorHAnsi"/>
        </w:rPr>
        <w:t>, die ausschließlich für institutionelle Anleger aufgelegt sind.</w:t>
      </w:r>
    </w:p>
    <w:p w14:paraId="33A9B33B" w14:textId="5A775BF2" w:rsidR="00831121" w:rsidRPr="00951307" w:rsidRDefault="00831121" w:rsidP="00951307">
      <w:pPr>
        <w:numPr>
          <w:ilvl w:val="0"/>
          <w:numId w:val="3"/>
        </w:numPr>
        <w:spacing w:after="0"/>
        <w:ind w:right="141"/>
        <w:rPr>
          <w:rFonts w:asciiTheme="minorHAnsi" w:hAnsiTheme="minorHAnsi" w:cstheme="minorHAnsi"/>
        </w:rPr>
      </w:pPr>
      <w:r w:rsidRPr="00951307">
        <w:rPr>
          <w:rFonts w:asciiTheme="minorHAnsi" w:hAnsiTheme="minorHAnsi" w:cstheme="minorHAnsi"/>
        </w:rPr>
        <w:t>Die bisherigen Ergebnisse der Vermögensverwaltung haben gezeigt, dass diese lang</w:t>
      </w:r>
      <w:r w:rsidR="00951307">
        <w:rPr>
          <w:rFonts w:asciiTheme="minorHAnsi" w:hAnsiTheme="minorHAnsi" w:cstheme="minorHAnsi"/>
        </w:rPr>
        <w:softHyphen/>
      </w:r>
      <w:r w:rsidRPr="00951307">
        <w:rPr>
          <w:rFonts w:asciiTheme="minorHAnsi" w:hAnsiTheme="minorHAnsi" w:cstheme="minorHAnsi"/>
        </w:rPr>
        <w:t>fristig ausgerichtete Strategie und deren konsequente Umsetzung auch bei schwierigen Rahmenbedingungen sinnvoll ist.</w:t>
      </w:r>
    </w:p>
    <w:p w14:paraId="104DA685" w14:textId="77777777" w:rsidR="00831121" w:rsidRPr="00951307" w:rsidRDefault="00831121" w:rsidP="00831121">
      <w:pPr>
        <w:spacing w:after="0"/>
        <w:rPr>
          <w:rFonts w:asciiTheme="minorHAnsi" w:hAnsiTheme="minorHAnsi" w:cstheme="minorHAnsi"/>
        </w:rPr>
      </w:pPr>
    </w:p>
    <w:p w14:paraId="4DC48765"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Controlling bei der Vermögensverwaltung</w:t>
      </w:r>
    </w:p>
    <w:p w14:paraId="078B0523" w14:textId="77777777" w:rsidR="00831121" w:rsidRPr="00951307" w:rsidRDefault="00831121" w:rsidP="00831121">
      <w:pPr>
        <w:spacing w:after="0"/>
        <w:rPr>
          <w:rFonts w:asciiTheme="minorHAnsi" w:hAnsiTheme="minorHAnsi" w:cstheme="minorHAnsi"/>
        </w:rPr>
      </w:pPr>
    </w:p>
    <w:p w14:paraId="7B50C237" w14:textId="77777777" w:rsidR="00831121" w:rsidRPr="00951307" w:rsidRDefault="00831121" w:rsidP="00831121">
      <w:pPr>
        <w:numPr>
          <w:ilvl w:val="0"/>
          <w:numId w:val="4"/>
        </w:numPr>
        <w:spacing w:after="0"/>
        <w:rPr>
          <w:rFonts w:asciiTheme="minorHAnsi" w:hAnsiTheme="minorHAnsi" w:cstheme="minorHAnsi"/>
        </w:rPr>
      </w:pPr>
      <w:r w:rsidRPr="00951307">
        <w:rPr>
          <w:rFonts w:asciiTheme="minorHAnsi" w:hAnsiTheme="minorHAnsi" w:cstheme="minorHAnsi"/>
        </w:rPr>
        <w:t xml:space="preserve">Die Einhaltung der </w:t>
      </w:r>
      <w:proofErr w:type="spellStart"/>
      <w:r w:rsidRPr="00951307">
        <w:rPr>
          <w:rFonts w:asciiTheme="minorHAnsi" w:hAnsiTheme="minorHAnsi" w:cstheme="minorHAnsi"/>
        </w:rPr>
        <w:t>AnlRl</w:t>
      </w:r>
      <w:proofErr w:type="spellEnd"/>
      <w:r w:rsidRPr="00951307">
        <w:rPr>
          <w:rFonts w:asciiTheme="minorHAnsi" w:hAnsiTheme="minorHAnsi" w:cstheme="minorHAnsi"/>
        </w:rPr>
        <w:t xml:space="preserve"> durch die Fondsmanager kontrolliert die Kapitalverwaltungsgesellschaft (KVG).</w:t>
      </w:r>
    </w:p>
    <w:p w14:paraId="6437A227" w14:textId="77777777" w:rsidR="00831121" w:rsidRPr="00951307" w:rsidRDefault="00831121" w:rsidP="00831121">
      <w:pPr>
        <w:numPr>
          <w:ilvl w:val="0"/>
          <w:numId w:val="4"/>
        </w:numPr>
        <w:spacing w:after="0"/>
        <w:rPr>
          <w:rFonts w:asciiTheme="minorHAnsi" w:hAnsiTheme="minorHAnsi" w:cstheme="minorHAnsi"/>
        </w:rPr>
      </w:pPr>
      <w:r w:rsidRPr="00951307">
        <w:rPr>
          <w:rFonts w:asciiTheme="minorHAnsi" w:hAnsiTheme="minorHAnsi" w:cstheme="minorHAnsi"/>
        </w:rPr>
        <w:t>Die Ergebnisse der Manager werden vierteljährig verglichen</w:t>
      </w:r>
    </w:p>
    <w:p w14:paraId="45549AD8" w14:textId="77777777" w:rsidR="00831121" w:rsidRPr="00951307" w:rsidRDefault="00831121" w:rsidP="00831121">
      <w:pPr>
        <w:numPr>
          <w:ilvl w:val="1"/>
          <w:numId w:val="4"/>
        </w:numPr>
        <w:spacing w:after="0"/>
        <w:rPr>
          <w:rFonts w:asciiTheme="minorHAnsi" w:hAnsiTheme="minorHAnsi" w:cstheme="minorHAnsi"/>
        </w:rPr>
      </w:pPr>
      <w:r w:rsidRPr="00951307">
        <w:rPr>
          <w:rFonts w:asciiTheme="minorHAnsi" w:hAnsiTheme="minorHAnsi" w:cstheme="minorHAnsi"/>
        </w:rPr>
        <w:t xml:space="preserve">gegen eine Benchmark, </w:t>
      </w:r>
    </w:p>
    <w:p w14:paraId="59C520CA" w14:textId="77777777" w:rsidR="00831121" w:rsidRPr="00951307" w:rsidRDefault="00831121" w:rsidP="00831121">
      <w:pPr>
        <w:numPr>
          <w:ilvl w:val="1"/>
          <w:numId w:val="4"/>
        </w:numPr>
        <w:spacing w:after="0"/>
        <w:rPr>
          <w:rFonts w:asciiTheme="minorHAnsi" w:hAnsiTheme="minorHAnsi" w:cstheme="minorHAnsi"/>
        </w:rPr>
      </w:pPr>
      <w:r w:rsidRPr="00951307">
        <w:rPr>
          <w:rFonts w:asciiTheme="minorHAnsi" w:hAnsiTheme="minorHAnsi" w:cstheme="minorHAnsi"/>
        </w:rPr>
        <w:t xml:space="preserve">gegen eine Peer-Group </w:t>
      </w:r>
    </w:p>
    <w:p w14:paraId="7A87DACB" w14:textId="77777777" w:rsidR="00831121" w:rsidRPr="00951307" w:rsidRDefault="00831121" w:rsidP="00831121">
      <w:pPr>
        <w:numPr>
          <w:ilvl w:val="1"/>
          <w:numId w:val="4"/>
        </w:numPr>
        <w:spacing w:after="0"/>
        <w:rPr>
          <w:rFonts w:asciiTheme="minorHAnsi" w:hAnsiTheme="minorHAnsi" w:cstheme="minorHAnsi"/>
        </w:rPr>
      </w:pPr>
      <w:r w:rsidRPr="00951307">
        <w:rPr>
          <w:rFonts w:asciiTheme="minorHAnsi" w:hAnsiTheme="minorHAnsi" w:cstheme="minorHAnsi"/>
        </w:rPr>
        <w:t>und vor allem auch miteinander</w:t>
      </w:r>
    </w:p>
    <w:p w14:paraId="48E18FC9" w14:textId="77777777" w:rsidR="00831121" w:rsidRPr="00951307" w:rsidRDefault="00831121" w:rsidP="00831121">
      <w:pPr>
        <w:numPr>
          <w:ilvl w:val="0"/>
          <w:numId w:val="4"/>
        </w:numPr>
        <w:spacing w:after="0"/>
        <w:rPr>
          <w:rFonts w:asciiTheme="minorHAnsi" w:hAnsiTheme="minorHAnsi" w:cstheme="minorHAnsi"/>
        </w:rPr>
      </w:pPr>
      <w:r w:rsidRPr="00951307">
        <w:rPr>
          <w:rFonts w:asciiTheme="minorHAnsi" w:hAnsiTheme="minorHAnsi" w:cstheme="minorHAnsi"/>
        </w:rPr>
        <w:t>Die Analyse der Managemententscheidungen und der Ergebnisse übernimmt eine Performance-Messungsgesellschaft, die darüber hinaus auch beratende Funktion bei Investmentscheidungen hat.</w:t>
      </w:r>
    </w:p>
    <w:p w14:paraId="1055FD8B" w14:textId="77777777" w:rsidR="00831121" w:rsidRPr="00951307" w:rsidRDefault="00831121" w:rsidP="00831121">
      <w:pPr>
        <w:spacing w:after="0"/>
        <w:rPr>
          <w:rFonts w:asciiTheme="minorHAnsi" w:hAnsiTheme="minorHAnsi" w:cstheme="minorHAnsi"/>
        </w:rPr>
      </w:pPr>
    </w:p>
    <w:p w14:paraId="4DEC8A13" w14:textId="77777777" w:rsidR="00831121" w:rsidRPr="00951307" w:rsidRDefault="00831121" w:rsidP="00831121">
      <w:pPr>
        <w:spacing w:after="0"/>
        <w:rPr>
          <w:rFonts w:asciiTheme="minorHAnsi" w:hAnsiTheme="minorHAnsi" w:cstheme="minorHAnsi"/>
        </w:rPr>
      </w:pPr>
    </w:p>
    <w:p w14:paraId="0679C6CF"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Fördermittel</w:t>
      </w:r>
    </w:p>
    <w:p w14:paraId="08CCA6C1" w14:textId="77777777" w:rsidR="00831121" w:rsidRPr="00951307" w:rsidRDefault="00831121" w:rsidP="00831121">
      <w:pPr>
        <w:spacing w:after="0"/>
        <w:rPr>
          <w:rFonts w:asciiTheme="minorHAnsi" w:hAnsiTheme="minorHAnsi" w:cstheme="minorHAnsi"/>
        </w:rPr>
      </w:pPr>
    </w:p>
    <w:p w14:paraId="2E25EC64" w14:textId="77777777" w:rsidR="00831121" w:rsidRPr="00951307" w:rsidRDefault="00831121" w:rsidP="00831121">
      <w:pPr>
        <w:numPr>
          <w:ilvl w:val="0"/>
          <w:numId w:val="5"/>
        </w:numPr>
        <w:spacing w:after="0"/>
        <w:rPr>
          <w:rFonts w:asciiTheme="minorHAnsi" w:hAnsiTheme="minorHAnsi" w:cstheme="minorHAnsi"/>
        </w:rPr>
      </w:pPr>
      <w:r w:rsidRPr="00951307">
        <w:rPr>
          <w:rFonts w:asciiTheme="minorHAnsi" w:hAnsiTheme="minorHAnsi" w:cstheme="minorHAnsi"/>
        </w:rPr>
        <w:t>Die Erträge der Stiftung setzen sich zusammen aus</w:t>
      </w:r>
    </w:p>
    <w:p w14:paraId="7FEA8D98" w14:textId="77777777" w:rsidR="00831121" w:rsidRPr="00951307" w:rsidRDefault="00831121" w:rsidP="00831121">
      <w:pPr>
        <w:numPr>
          <w:ilvl w:val="1"/>
          <w:numId w:val="5"/>
        </w:numPr>
        <w:spacing w:after="0"/>
        <w:rPr>
          <w:rFonts w:asciiTheme="minorHAnsi" w:hAnsiTheme="minorHAnsi" w:cstheme="minorHAnsi"/>
        </w:rPr>
      </w:pPr>
      <w:r w:rsidRPr="00951307">
        <w:rPr>
          <w:rFonts w:asciiTheme="minorHAnsi" w:hAnsiTheme="minorHAnsi" w:cstheme="minorHAnsi"/>
        </w:rPr>
        <w:t>ordentlichen Erträgen (Zinsen und Dividenden)</w:t>
      </w:r>
    </w:p>
    <w:p w14:paraId="6446F52E" w14:textId="77777777" w:rsidR="00831121" w:rsidRPr="00951307" w:rsidRDefault="00831121" w:rsidP="00831121">
      <w:pPr>
        <w:numPr>
          <w:ilvl w:val="1"/>
          <w:numId w:val="5"/>
        </w:numPr>
        <w:spacing w:after="0"/>
        <w:rPr>
          <w:rFonts w:asciiTheme="minorHAnsi" w:hAnsiTheme="minorHAnsi" w:cstheme="minorHAnsi"/>
        </w:rPr>
      </w:pPr>
      <w:r w:rsidRPr="00951307">
        <w:rPr>
          <w:rFonts w:asciiTheme="minorHAnsi" w:hAnsiTheme="minorHAnsi" w:cstheme="minorHAnsi"/>
        </w:rPr>
        <w:t>außerordentlichen Erträgen (Kursgewinne, -verluste)</w:t>
      </w:r>
    </w:p>
    <w:p w14:paraId="1138D462" w14:textId="77777777" w:rsidR="00831121" w:rsidRPr="00951307" w:rsidRDefault="00831121" w:rsidP="00951307">
      <w:pPr>
        <w:numPr>
          <w:ilvl w:val="0"/>
          <w:numId w:val="5"/>
        </w:numPr>
        <w:spacing w:after="0"/>
        <w:ind w:right="283"/>
        <w:rPr>
          <w:rFonts w:asciiTheme="minorHAnsi" w:hAnsiTheme="minorHAnsi" w:cstheme="minorHAnsi"/>
        </w:rPr>
      </w:pPr>
      <w:r w:rsidRPr="00951307">
        <w:rPr>
          <w:rFonts w:asciiTheme="minorHAnsi" w:hAnsiTheme="minorHAnsi" w:cstheme="minorHAnsi"/>
        </w:rPr>
        <w:t>Die Daniel-Theysohn-Stiftung führt, in Abstimmung mit den Aufsichtsbehörden, den Förderzwecken die nach Abzug der Verwaltungsaufwendungen verbleibenden ordentlichen Erträge zu. Ein Drittel davon wird, wie es die Abgabenordnung zulässt, den gesetzlichen Rücklagen zugeführt.</w:t>
      </w:r>
    </w:p>
    <w:p w14:paraId="4C3871F1" w14:textId="77777777" w:rsidR="00831121" w:rsidRPr="00951307" w:rsidRDefault="00831121" w:rsidP="00831121">
      <w:pPr>
        <w:numPr>
          <w:ilvl w:val="0"/>
          <w:numId w:val="5"/>
        </w:numPr>
        <w:spacing w:after="0"/>
        <w:rPr>
          <w:rFonts w:asciiTheme="minorHAnsi" w:hAnsiTheme="minorHAnsi" w:cstheme="minorHAnsi"/>
        </w:rPr>
      </w:pPr>
      <w:r w:rsidRPr="00951307">
        <w:rPr>
          <w:rFonts w:asciiTheme="minorHAnsi" w:hAnsiTheme="minorHAnsi" w:cstheme="minorHAnsi"/>
        </w:rPr>
        <w:t>Mit dieser Strategie ist es gelungen, einerseits den langfristigen realen Kapitalerhalt zu sichern und andererseits die Förderzwecke in ausreichendem Maße zu bedienen.</w:t>
      </w:r>
    </w:p>
    <w:p w14:paraId="2C780930" w14:textId="1D7C8290" w:rsidR="00831121" w:rsidRPr="00951307" w:rsidRDefault="00831121" w:rsidP="00951307">
      <w:pPr>
        <w:numPr>
          <w:ilvl w:val="0"/>
          <w:numId w:val="5"/>
        </w:numPr>
        <w:spacing w:after="0"/>
        <w:rPr>
          <w:rFonts w:asciiTheme="minorHAnsi" w:hAnsiTheme="minorHAnsi" w:cstheme="minorHAnsi"/>
        </w:rPr>
      </w:pPr>
      <w:r w:rsidRPr="00951307">
        <w:rPr>
          <w:rFonts w:asciiTheme="minorHAnsi" w:hAnsiTheme="minorHAnsi" w:cstheme="minorHAnsi"/>
        </w:rPr>
        <w:t xml:space="preserve">Die Gesamtsummen, mit denen die Förderzwecke bisher bedient wurden, sind aus der Homepage </w:t>
      </w:r>
      <w:hyperlink r:id="rId7" w:history="1">
        <w:r w:rsidR="0079088C" w:rsidRPr="00951307">
          <w:rPr>
            <w:rStyle w:val="Hyperlink"/>
            <w:rFonts w:asciiTheme="minorHAnsi" w:hAnsiTheme="minorHAnsi" w:cstheme="minorHAnsi"/>
          </w:rPr>
          <w:t>www.daniel-theysohn-stiftung.de</w:t>
        </w:r>
      </w:hyperlink>
      <w:r w:rsidR="0079088C" w:rsidRPr="00951307">
        <w:rPr>
          <w:rFonts w:asciiTheme="minorHAnsi" w:hAnsiTheme="minorHAnsi" w:cstheme="minorHAnsi"/>
        </w:rPr>
        <w:t xml:space="preserve"> </w:t>
      </w:r>
      <w:r w:rsidRPr="00951307">
        <w:rPr>
          <w:rFonts w:asciiTheme="minorHAnsi" w:hAnsiTheme="minorHAnsi" w:cstheme="minorHAnsi"/>
        </w:rPr>
        <w:t>und aus den weiteren Unterlagen zu ersehen.</w:t>
      </w:r>
    </w:p>
    <w:p w14:paraId="140539BA" w14:textId="77777777" w:rsidR="00831121" w:rsidRPr="00951307" w:rsidRDefault="00831121" w:rsidP="00831121">
      <w:pPr>
        <w:spacing w:after="0"/>
        <w:rPr>
          <w:rFonts w:asciiTheme="minorHAnsi" w:hAnsiTheme="minorHAnsi" w:cstheme="minorHAnsi"/>
        </w:rPr>
      </w:pPr>
      <w:r w:rsidRPr="00951307">
        <w:rPr>
          <w:rFonts w:asciiTheme="minorHAnsi" w:hAnsiTheme="minorHAnsi" w:cstheme="minorHAnsi"/>
        </w:rPr>
        <w:t xml:space="preserve"> </w:t>
      </w:r>
    </w:p>
    <w:p w14:paraId="27844C65" w14:textId="77777777" w:rsidR="00831121" w:rsidRPr="00951307" w:rsidRDefault="00831121" w:rsidP="00831121">
      <w:pPr>
        <w:spacing w:after="0"/>
        <w:rPr>
          <w:rFonts w:asciiTheme="minorHAnsi" w:hAnsiTheme="minorHAnsi" w:cstheme="minorHAnsi"/>
        </w:rPr>
      </w:pPr>
    </w:p>
    <w:p w14:paraId="19737E88"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Stiftungsorganisation</w:t>
      </w:r>
    </w:p>
    <w:p w14:paraId="7EC9F7F3" w14:textId="77777777" w:rsidR="00831121" w:rsidRPr="00951307" w:rsidRDefault="00831121" w:rsidP="00831121">
      <w:pPr>
        <w:spacing w:after="0"/>
        <w:rPr>
          <w:rFonts w:asciiTheme="minorHAnsi" w:hAnsiTheme="minorHAnsi" w:cstheme="minorHAnsi"/>
        </w:rPr>
      </w:pPr>
    </w:p>
    <w:p w14:paraId="253A2F99" w14:textId="77777777" w:rsidR="00831121" w:rsidRPr="00951307" w:rsidRDefault="00831121" w:rsidP="00831121">
      <w:pPr>
        <w:numPr>
          <w:ilvl w:val="0"/>
          <w:numId w:val="6"/>
        </w:numPr>
        <w:spacing w:after="0"/>
        <w:rPr>
          <w:rFonts w:asciiTheme="minorHAnsi" w:hAnsiTheme="minorHAnsi" w:cstheme="minorHAnsi"/>
        </w:rPr>
      </w:pPr>
      <w:r w:rsidRPr="00951307">
        <w:rPr>
          <w:rFonts w:asciiTheme="minorHAnsi" w:hAnsiTheme="minorHAnsi" w:cstheme="minorHAnsi"/>
        </w:rPr>
        <w:t>Die Stiftung ist in ihrer Organisation transparent und effizient aufgestellt.</w:t>
      </w:r>
    </w:p>
    <w:p w14:paraId="4440C00C" w14:textId="77777777" w:rsidR="00831121" w:rsidRPr="00951307" w:rsidRDefault="00831121" w:rsidP="00831121">
      <w:pPr>
        <w:numPr>
          <w:ilvl w:val="0"/>
          <w:numId w:val="6"/>
        </w:numPr>
        <w:spacing w:after="0"/>
        <w:rPr>
          <w:rFonts w:asciiTheme="minorHAnsi" w:hAnsiTheme="minorHAnsi" w:cstheme="minorHAnsi"/>
        </w:rPr>
      </w:pPr>
      <w:r w:rsidRPr="00951307">
        <w:rPr>
          <w:rFonts w:asciiTheme="minorHAnsi" w:hAnsiTheme="minorHAnsi" w:cstheme="minorHAnsi"/>
        </w:rPr>
        <w:t>Alles entscheidendes und einziges Organ ist der Vorstand.</w:t>
      </w:r>
    </w:p>
    <w:p w14:paraId="0314606F" w14:textId="081D39E9" w:rsidR="00831121" w:rsidRPr="00951307" w:rsidRDefault="00831121" w:rsidP="00831121">
      <w:pPr>
        <w:numPr>
          <w:ilvl w:val="0"/>
          <w:numId w:val="6"/>
        </w:numPr>
        <w:spacing w:after="0"/>
        <w:rPr>
          <w:rFonts w:asciiTheme="minorHAnsi" w:hAnsiTheme="minorHAnsi" w:cstheme="minorHAnsi"/>
        </w:rPr>
      </w:pPr>
      <w:r w:rsidRPr="00951307">
        <w:rPr>
          <w:rFonts w:asciiTheme="minorHAnsi" w:hAnsiTheme="minorHAnsi" w:cstheme="minorHAnsi"/>
        </w:rPr>
        <w:t>Vorbereitende, bearbeitende und umsetzende Stelle ist die Geschäftsstelle, mit</w:t>
      </w:r>
      <w:r w:rsidR="002B370C" w:rsidRPr="00951307">
        <w:rPr>
          <w:rFonts w:asciiTheme="minorHAnsi" w:hAnsiTheme="minorHAnsi" w:cstheme="minorHAnsi"/>
        </w:rPr>
        <w:t xml:space="preserve"> dem Geschäftsführer,</w:t>
      </w:r>
      <w:r w:rsidRPr="00951307">
        <w:rPr>
          <w:rFonts w:asciiTheme="minorHAnsi" w:hAnsiTheme="minorHAnsi" w:cstheme="minorHAnsi"/>
        </w:rPr>
        <w:t xml:space="preserve"> zwei hauptamtlichen Mitarbeiterinnen </w:t>
      </w:r>
      <w:r w:rsidR="00A0299C" w:rsidRPr="00951307">
        <w:rPr>
          <w:rFonts w:asciiTheme="minorHAnsi" w:hAnsiTheme="minorHAnsi" w:cstheme="minorHAnsi"/>
        </w:rPr>
        <w:t xml:space="preserve">und einer Halbtagskraft </w:t>
      </w:r>
      <w:r w:rsidRPr="00951307">
        <w:rPr>
          <w:rFonts w:asciiTheme="minorHAnsi" w:hAnsiTheme="minorHAnsi" w:cstheme="minorHAnsi"/>
        </w:rPr>
        <w:t>besetzt.</w:t>
      </w:r>
    </w:p>
    <w:p w14:paraId="3FC42E28" w14:textId="41642801" w:rsidR="00831121" w:rsidRPr="00951307" w:rsidRDefault="00831121" w:rsidP="00831121">
      <w:pPr>
        <w:numPr>
          <w:ilvl w:val="0"/>
          <w:numId w:val="6"/>
        </w:numPr>
        <w:spacing w:after="0"/>
        <w:rPr>
          <w:rFonts w:asciiTheme="minorHAnsi" w:hAnsiTheme="minorHAnsi" w:cstheme="minorHAnsi"/>
        </w:rPr>
      </w:pPr>
      <w:r w:rsidRPr="00951307">
        <w:rPr>
          <w:rFonts w:asciiTheme="minorHAnsi" w:hAnsiTheme="minorHAnsi" w:cstheme="minorHAnsi"/>
        </w:rPr>
        <w:t>Spezielle Arbeits- oder Problemfelder werden mit Hilfe kompetenter fachlicher Unter</w:t>
      </w:r>
      <w:r w:rsidR="00951307">
        <w:rPr>
          <w:rFonts w:asciiTheme="minorHAnsi" w:hAnsiTheme="minorHAnsi" w:cstheme="minorHAnsi"/>
        </w:rPr>
        <w:softHyphen/>
      </w:r>
      <w:r w:rsidRPr="00951307">
        <w:rPr>
          <w:rFonts w:asciiTheme="minorHAnsi" w:hAnsiTheme="minorHAnsi" w:cstheme="minorHAnsi"/>
        </w:rPr>
        <w:t>stützung von außen im Einzelfall angegangen (Finanzen, Recht, Steuer).</w:t>
      </w:r>
    </w:p>
    <w:p w14:paraId="642B9856" w14:textId="29E00962" w:rsidR="00831121" w:rsidRPr="00951307" w:rsidRDefault="00831121" w:rsidP="00951307">
      <w:pPr>
        <w:numPr>
          <w:ilvl w:val="0"/>
          <w:numId w:val="6"/>
        </w:numPr>
        <w:spacing w:after="0"/>
        <w:ind w:right="-426"/>
        <w:rPr>
          <w:rFonts w:asciiTheme="minorHAnsi" w:hAnsiTheme="minorHAnsi" w:cstheme="minorHAnsi"/>
        </w:rPr>
      </w:pPr>
      <w:r w:rsidRPr="00951307">
        <w:rPr>
          <w:rFonts w:asciiTheme="minorHAnsi" w:hAnsiTheme="minorHAnsi" w:cstheme="minorHAnsi"/>
        </w:rPr>
        <w:t>Diese Strategie ermöglicht eine schlanke, kostengünstige und effiziente Betriebsorgani</w:t>
      </w:r>
      <w:r w:rsidR="00951307">
        <w:rPr>
          <w:rFonts w:asciiTheme="minorHAnsi" w:hAnsiTheme="minorHAnsi" w:cstheme="minorHAnsi"/>
        </w:rPr>
        <w:softHyphen/>
      </w:r>
      <w:r w:rsidRPr="00951307">
        <w:rPr>
          <w:rFonts w:asciiTheme="minorHAnsi" w:hAnsiTheme="minorHAnsi" w:cstheme="minorHAnsi"/>
        </w:rPr>
        <w:t>sation.</w:t>
      </w:r>
    </w:p>
    <w:p w14:paraId="2F8CFCFA" w14:textId="4ED1E281" w:rsidR="00883AC4" w:rsidRPr="00951307" w:rsidRDefault="00883AC4" w:rsidP="00883AC4">
      <w:pPr>
        <w:spacing w:after="0"/>
        <w:rPr>
          <w:rFonts w:asciiTheme="minorHAnsi" w:hAnsiTheme="minorHAnsi" w:cstheme="minorHAnsi"/>
        </w:rPr>
      </w:pPr>
    </w:p>
    <w:p w14:paraId="778009FC" w14:textId="77777777" w:rsidR="00831121" w:rsidRPr="00951307" w:rsidRDefault="00831121" w:rsidP="00831121">
      <w:pPr>
        <w:numPr>
          <w:ilvl w:val="0"/>
          <w:numId w:val="6"/>
        </w:numPr>
        <w:spacing w:after="0"/>
        <w:rPr>
          <w:rFonts w:asciiTheme="minorHAnsi" w:hAnsiTheme="minorHAnsi" w:cstheme="minorHAnsi"/>
        </w:rPr>
      </w:pPr>
      <w:r w:rsidRPr="00951307">
        <w:rPr>
          <w:rFonts w:asciiTheme="minorHAnsi" w:hAnsiTheme="minorHAnsi" w:cstheme="minorHAnsi"/>
        </w:rPr>
        <w:t>Das interne Controlling erfolgt in der Weise, dass:</w:t>
      </w:r>
    </w:p>
    <w:p w14:paraId="060BF439" w14:textId="77777777" w:rsidR="00831121" w:rsidRPr="00951307" w:rsidRDefault="00831121" w:rsidP="00831121">
      <w:pPr>
        <w:numPr>
          <w:ilvl w:val="1"/>
          <w:numId w:val="6"/>
        </w:numPr>
        <w:spacing w:after="0"/>
        <w:rPr>
          <w:rFonts w:asciiTheme="minorHAnsi" w:hAnsiTheme="minorHAnsi" w:cstheme="minorHAnsi"/>
        </w:rPr>
      </w:pPr>
      <w:r w:rsidRPr="00951307">
        <w:rPr>
          <w:rFonts w:asciiTheme="minorHAnsi" w:hAnsiTheme="minorHAnsi" w:cstheme="minorHAnsi"/>
        </w:rPr>
        <w:t>der Jahresabschluss durch ein Steuerbüro erstellt wird,</w:t>
      </w:r>
    </w:p>
    <w:p w14:paraId="4AD2808C" w14:textId="4F369FD9" w:rsidR="00831121" w:rsidRPr="00951307" w:rsidRDefault="00831121" w:rsidP="00831121">
      <w:pPr>
        <w:numPr>
          <w:ilvl w:val="1"/>
          <w:numId w:val="6"/>
        </w:numPr>
        <w:spacing w:after="0"/>
        <w:rPr>
          <w:rFonts w:asciiTheme="minorHAnsi" w:hAnsiTheme="minorHAnsi" w:cstheme="minorHAnsi"/>
        </w:rPr>
      </w:pPr>
      <w:r w:rsidRPr="00951307">
        <w:rPr>
          <w:rFonts w:asciiTheme="minorHAnsi" w:hAnsiTheme="minorHAnsi" w:cstheme="minorHAnsi"/>
        </w:rPr>
        <w:t xml:space="preserve">sowohl der </w:t>
      </w:r>
      <w:r w:rsidR="002B370C" w:rsidRPr="00951307">
        <w:rPr>
          <w:rFonts w:asciiTheme="minorHAnsi" w:hAnsiTheme="minorHAnsi" w:cstheme="minorHAnsi"/>
        </w:rPr>
        <w:t>Jahresa</w:t>
      </w:r>
      <w:r w:rsidRPr="00951307">
        <w:rPr>
          <w:rFonts w:asciiTheme="minorHAnsi" w:hAnsiTheme="minorHAnsi" w:cstheme="minorHAnsi"/>
        </w:rPr>
        <w:t>bschluss als auch das Förderverfahren im Hinblick auf die Gemeinnützigkeit durch einen unabhängigen Wirtschaftsprüfer geprüft werden,</w:t>
      </w:r>
    </w:p>
    <w:p w14:paraId="089A49EA" w14:textId="77777777" w:rsidR="00831121" w:rsidRPr="00951307" w:rsidRDefault="00831121" w:rsidP="00951307">
      <w:pPr>
        <w:numPr>
          <w:ilvl w:val="1"/>
          <w:numId w:val="6"/>
        </w:numPr>
        <w:spacing w:after="0"/>
        <w:ind w:right="-142"/>
        <w:rPr>
          <w:rFonts w:asciiTheme="minorHAnsi" w:hAnsiTheme="minorHAnsi" w:cstheme="minorHAnsi"/>
        </w:rPr>
      </w:pPr>
      <w:r w:rsidRPr="00951307">
        <w:rPr>
          <w:rFonts w:asciiTheme="minorHAnsi" w:hAnsiTheme="minorHAnsi" w:cstheme="minorHAnsi"/>
        </w:rPr>
        <w:t>Jahresabschluss und Prüfbericht jährlich den Aufsichtsbehörden vorgelegt werden,</w:t>
      </w:r>
    </w:p>
    <w:p w14:paraId="22123B53" w14:textId="7580E936" w:rsidR="00831121" w:rsidRPr="00951307" w:rsidRDefault="00831121" w:rsidP="00951307">
      <w:pPr>
        <w:numPr>
          <w:ilvl w:val="1"/>
          <w:numId w:val="6"/>
        </w:numPr>
        <w:spacing w:after="0"/>
        <w:ind w:right="-426"/>
        <w:rPr>
          <w:rFonts w:asciiTheme="minorHAnsi" w:hAnsiTheme="minorHAnsi" w:cstheme="minorHAnsi"/>
        </w:rPr>
      </w:pPr>
      <w:r w:rsidRPr="00951307">
        <w:rPr>
          <w:rFonts w:asciiTheme="minorHAnsi" w:hAnsiTheme="minorHAnsi" w:cstheme="minorHAnsi"/>
        </w:rPr>
        <w:t xml:space="preserve">durchgängig nach dem „Vier-Augen-Prinzip“ von den Mitgliedern des </w:t>
      </w:r>
      <w:r w:rsidR="00951307">
        <w:rPr>
          <w:rFonts w:asciiTheme="minorHAnsi" w:hAnsiTheme="minorHAnsi" w:cstheme="minorHAnsi"/>
        </w:rPr>
        <w:t>S</w:t>
      </w:r>
      <w:r w:rsidRPr="00951307">
        <w:rPr>
          <w:rFonts w:asciiTheme="minorHAnsi" w:hAnsiTheme="minorHAnsi" w:cstheme="minorHAnsi"/>
        </w:rPr>
        <w:t>tiftungs</w:t>
      </w:r>
      <w:r w:rsidR="00951307">
        <w:rPr>
          <w:rFonts w:asciiTheme="minorHAnsi" w:hAnsiTheme="minorHAnsi" w:cstheme="minorHAnsi"/>
        </w:rPr>
        <w:softHyphen/>
      </w:r>
      <w:r w:rsidRPr="00951307">
        <w:rPr>
          <w:rFonts w:asciiTheme="minorHAnsi" w:hAnsiTheme="minorHAnsi" w:cstheme="minorHAnsi"/>
        </w:rPr>
        <w:t>vorstandes Controllingaufgaben übernommen werden.</w:t>
      </w:r>
    </w:p>
    <w:p w14:paraId="307AA42A" w14:textId="2C4426F1" w:rsidR="00831121" w:rsidRPr="00951307" w:rsidRDefault="00831121" w:rsidP="00831121">
      <w:pPr>
        <w:spacing w:after="0"/>
        <w:rPr>
          <w:rFonts w:asciiTheme="minorHAnsi" w:hAnsiTheme="minorHAnsi" w:cstheme="minorHAnsi"/>
        </w:rPr>
      </w:pPr>
    </w:p>
    <w:p w14:paraId="6BF89DE5" w14:textId="77777777" w:rsidR="00831121" w:rsidRPr="00951307" w:rsidRDefault="00831121" w:rsidP="00831121">
      <w:pPr>
        <w:spacing w:after="0"/>
        <w:rPr>
          <w:rFonts w:asciiTheme="minorHAnsi" w:hAnsiTheme="minorHAnsi" w:cstheme="minorHAnsi"/>
        </w:rPr>
      </w:pPr>
    </w:p>
    <w:p w14:paraId="3BCE54B3"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Eckpunkte des Förderverfahrens</w:t>
      </w:r>
    </w:p>
    <w:p w14:paraId="75943044" w14:textId="77777777" w:rsidR="00831121" w:rsidRPr="00951307" w:rsidRDefault="00831121" w:rsidP="00831121">
      <w:pPr>
        <w:spacing w:after="0"/>
        <w:rPr>
          <w:rFonts w:asciiTheme="minorHAnsi" w:hAnsiTheme="minorHAnsi" w:cstheme="minorHAnsi"/>
        </w:rPr>
      </w:pPr>
    </w:p>
    <w:p w14:paraId="510C875B" w14:textId="77777777" w:rsidR="00831121" w:rsidRP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Die Förderung erfolgt im Rahmen der Förderrichtlinien, die mit der Stiftungsaufsicht (FA Pirmasens) abgestimmt und auf unserer Webseite veröffentlicht sind. Im Rahmen dieser Förderrichtlinien erfolgt die Vergabe nach freiem Ermessen des Vorstandes.</w:t>
      </w:r>
    </w:p>
    <w:p w14:paraId="68B18233" w14:textId="7D9FBA57" w:rsidR="00831121" w:rsidRPr="00951307" w:rsidRDefault="00A0299C" w:rsidP="00831121">
      <w:pPr>
        <w:numPr>
          <w:ilvl w:val="0"/>
          <w:numId w:val="2"/>
        </w:numPr>
        <w:spacing w:after="0"/>
        <w:rPr>
          <w:rFonts w:asciiTheme="minorHAnsi" w:hAnsiTheme="minorHAnsi" w:cstheme="minorHAnsi"/>
        </w:rPr>
      </w:pPr>
      <w:r w:rsidRPr="00951307">
        <w:rPr>
          <w:rFonts w:asciiTheme="minorHAnsi" w:hAnsiTheme="minorHAnsi" w:cstheme="minorHAnsi"/>
        </w:rPr>
        <w:t>Fördera</w:t>
      </w:r>
      <w:r w:rsidR="00831121" w:rsidRPr="00951307">
        <w:rPr>
          <w:rFonts w:asciiTheme="minorHAnsi" w:hAnsiTheme="minorHAnsi" w:cstheme="minorHAnsi"/>
        </w:rPr>
        <w:t>nträge werden ausschließlich über die Homepage der Stiftung (</w:t>
      </w:r>
      <w:hyperlink r:id="rId8" w:history="1">
        <w:r w:rsidR="00831121" w:rsidRPr="00951307">
          <w:rPr>
            <w:rStyle w:val="Hyperlink"/>
            <w:rFonts w:asciiTheme="minorHAnsi" w:hAnsiTheme="minorHAnsi" w:cstheme="minorHAnsi"/>
          </w:rPr>
          <w:t>www.daniel-theysohn-stiftung.de</w:t>
        </w:r>
      </w:hyperlink>
      <w:r w:rsidR="00831121" w:rsidRPr="00951307">
        <w:rPr>
          <w:rFonts w:asciiTheme="minorHAnsi" w:hAnsiTheme="minorHAnsi" w:cstheme="minorHAnsi"/>
        </w:rPr>
        <w:t xml:space="preserve">) gestellt. Der Vorstand entscheidet über alle Anträge im Einzelfall. Individuell wird festgelegt, ob und in welcher Höhe eine Förderung erfolgt. </w:t>
      </w:r>
    </w:p>
    <w:p w14:paraId="63BAC3C1" w14:textId="41C4CF29" w:rsidR="00831121" w:rsidRPr="00951307" w:rsidRDefault="00831121" w:rsidP="00831121">
      <w:pPr>
        <w:numPr>
          <w:ilvl w:val="0"/>
          <w:numId w:val="2"/>
        </w:numPr>
        <w:spacing w:after="0"/>
        <w:rPr>
          <w:rFonts w:asciiTheme="minorHAnsi" w:hAnsiTheme="minorHAnsi" w:cstheme="minorHAnsi"/>
        </w:rPr>
      </w:pPr>
      <w:r w:rsidRPr="00951307">
        <w:rPr>
          <w:rFonts w:asciiTheme="minorHAnsi" w:hAnsiTheme="minorHAnsi" w:cstheme="minorHAnsi"/>
        </w:rPr>
        <w:t>Bei Anträgen auf Zuwendung für Maßnahmen im Rahmen der „</w:t>
      </w:r>
      <w:r w:rsidR="002B370C" w:rsidRPr="00951307">
        <w:rPr>
          <w:rFonts w:asciiTheme="minorHAnsi" w:hAnsiTheme="minorHAnsi" w:cstheme="minorHAnsi"/>
        </w:rPr>
        <w:t>weiteren</w:t>
      </w:r>
      <w:r w:rsidRPr="00951307">
        <w:rPr>
          <w:rFonts w:asciiTheme="minorHAnsi" w:hAnsiTheme="minorHAnsi" w:cstheme="minorHAnsi"/>
        </w:rPr>
        <w:t xml:space="preserve"> Förderzwecke“ wird ein aktives Verhalten der Antragsteller und hoher persönlicher Einsatz durch Eigen</w:t>
      </w:r>
      <w:r w:rsidR="00951307">
        <w:rPr>
          <w:rFonts w:asciiTheme="minorHAnsi" w:hAnsiTheme="minorHAnsi" w:cstheme="minorHAnsi"/>
        </w:rPr>
        <w:softHyphen/>
      </w:r>
      <w:r w:rsidRPr="00951307">
        <w:rPr>
          <w:rFonts w:asciiTheme="minorHAnsi" w:hAnsiTheme="minorHAnsi" w:cstheme="minorHAnsi"/>
        </w:rPr>
        <w:t>leistungen in den meisten Fällen positiv bewertet.</w:t>
      </w:r>
    </w:p>
    <w:p w14:paraId="0EF4BB4D" w14:textId="14C3C997" w:rsidR="00831121" w:rsidRP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Eine Rangfolge unter den Förderzwecken besteht lediglich in der Vorrangigkeit der Ausbildungsförderung</w:t>
      </w:r>
      <w:r w:rsidR="00320733" w:rsidRPr="00951307">
        <w:rPr>
          <w:rFonts w:asciiTheme="minorHAnsi" w:hAnsiTheme="minorHAnsi" w:cstheme="minorHAnsi"/>
        </w:rPr>
        <w:t>, gem. § 2 Abs. 1 der Satzung,</w:t>
      </w:r>
      <w:r w:rsidRPr="00951307">
        <w:rPr>
          <w:rFonts w:asciiTheme="minorHAnsi" w:hAnsiTheme="minorHAnsi" w:cstheme="minorHAnsi"/>
        </w:rPr>
        <w:t xml:space="preserve"> vor den </w:t>
      </w:r>
      <w:r w:rsidR="002B370C" w:rsidRPr="00951307">
        <w:rPr>
          <w:rFonts w:asciiTheme="minorHAnsi" w:hAnsiTheme="minorHAnsi" w:cstheme="minorHAnsi"/>
        </w:rPr>
        <w:t>weiteren</w:t>
      </w:r>
      <w:r w:rsidRPr="00951307">
        <w:rPr>
          <w:rFonts w:asciiTheme="minorHAnsi" w:hAnsiTheme="minorHAnsi" w:cstheme="minorHAnsi"/>
        </w:rPr>
        <w:t xml:space="preserve"> Stiftungszwecken</w:t>
      </w:r>
      <w:r w:rsidR="00320733" w:rsidRPr="00951307">
        <w:rPr>
          <w:rFonts w:asciiTheme="minorHAnsi" w:hAnsiTheme="minorHAnsi" w:cstheme="minorHAnsi"/>
        </w:rPr>
        <w:t xml:space="preserve"> gem. Abs. 2</w:t>
      </w:r>
      <w:r w:rsidRPr="00951307">
        <w:rPr>
          <w:rFonts w:asciiTheme="minorHAnsi" w:hAnsiTheme="minorHAnsi" w:cstheme="minorHAnsi"/>
        </w:rPr>
        <w:t>.</w:t>
      </w:r>
    </w:p>
    <w:p w14:paraId="366E3759" w14:textId="77777777" w:rsid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 xml:space="preserve">Fördermöglichkeiten von anderer Stelle werden bei der Entscheidung berücksichtigt. </w:t>
      </w:r>
    </w:p>
    <w:p w14:paraId="5DC239EF" w14:textId="3D4E118C" w:rsidR="00831121" w:rsidRPr="00951307" w:rsidRDefault="00831121" w:rsidP="00951307">
      <w:pPr>
        <w:spacing w:after="0"/>
        <w:ind w:left="360"/>
        <w:rPr>
          <w:rFonts w:asciiTheme="minorHAnsi" w:hAnsiTheme="minorHAnsi" w:cstheme="minorHAnsi"/>
        </w:rPr>
      </w:pPr>
      <w:r w:rsidRPr="00951307">
        <w:rPr>
          <w:rFonts w:asciiTheme="minorHAnsi" w:hAnsiTheme="minorHAnsi" w:cstheme="minorHAnsi"/>
        </w:rPr>
        <w:t>Mit den Fördermitteln der Stiftung soll bei allen Projekten die größtmögliche Hebel</w:t>
      </w:r>
      <w:r w:rsidR="00951307">
        <w:rPr>
          <w:rFonts w:asciiTheme="minorHAnsi" w:hAnsiTheme="minorHAnsi" w:cstheme="minorHAnsi"/>
        </w:rPr>
        <w:softHyphen/>
      </w:r>
      <w:r w:rsidRPr="00951307">
        <w:rPr>
          <w:rFonts w:asciiTheme="minorHAnsi" w:hAnsiTheme="minorHAnsi" w:cstheme="minorHAnsi"/>
        </w:rPr>
        <w:t>wirkung erzielt werden.</w:t>
      </w:r>
    </w:p>
    <w:p w14:paraId="7F35722B" w14:textId="6D7FB493" w:rsidR="00831121" w:rsidRP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Die mittelbare Entlastung staatlicher und/oder kirchlicher Haushalte durch die Stiftungs</w:t>
      </w:r>
      <w:r w:rsidR="00951307">
        <w:rPr>
          <w:rFonts w:asciiTheme="minorHAnsi" w:hAnsiTheme="minorHAnsi" w:cstheme="minorHAnsi"/>
        </w:rPr>
        <w:softHyphen/>
      </w:r>
      <w:r w:rsidRPr="00951307">
        <w:rPr>
          <w:rFonts w:asciiTheme="minorHAnsi" w:hAnsiTheme="minorHAnsi" w:cstheme="minorHAnsi"/>
        </w:rPr>
        <w:t>förderungen soll vermieden werden, da dies dem Stifterwillen entgegensteht.</w:t>
      </w:r>
    </w:p>
    <w:p w14:paraId="4069CE7D" w14:textId="77777777" w:rsidR="00831121" w:rsidRP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Negativabgrenzungen der Fördermöglichkeiten sind auf der Homepage genannt.</w:t>
      </w:r>
    </w:p>
    <w:p w14:paraId="3623566C" w14:textId="35F637BB" w:rsidR="00831121" w:rsidRPr="00951307" w:rsidRDefault="00831121" w:rsidP="00831121">
      <w:pPr>
        <w:numPr>
          <w:ilvl w:val="0"/>
          <w:numId w:val="7"/>
        </w:numPr>
        <w:spacing w:after="0"/>
        <w:rPr>
          <w:rFonts w:asciiTheme="minorHAnsi" w:hAnsiTheme="minorHAnsi" w:cstheme="minorHAnsi"/>
        </w:rPr>
      </w:pPr>
      <w:r w:rsidRPr="00951307">
        <w:rPr>
          <w:rFonts w:asciiTheme="minorHAnsi" w:hAnsiTheme="minorHAnsi" w:cstheme="minorHAnsi"/>
        </w:rPr>
        <w:t>Controlling durch den Stiftungsvorstand, bezüglich der ordnungsgemäßen Verwendung der Fördermittel durch die Destinatäre, erfolgt mittels stichprobenartiger Überprüfung der Projekte im Einzelfall und geplanter Projektbesichtigungen sowie durch konti</w:t>
      </w:r>
      <w:r w:rsidR="00951307">
        <w:rPr>
          <w:rFonts w:asciiTheme="minorHAnsi" w:hAnsiTheme="minorHAnsi" w:cstheme="minorHAnsi"/>
        </w:rPr>
        <w:softHyphen/>
      </w:r>
      <w:r w:rsidRPr="00951307">
        <w:rPr>
          <w:rFonts w:asciiTheme="minorHAnsi" w:hAnsiTheme="minorHAnsi" w:cstheme="minorHAnsi"/>
        </w:rPr>
        <w:t>nuier</w:t>
      </w:r>
      <w:r w:rsidR="00951307">
        <w:rPr>
          <w:rFonts w:asciiTheme="minorHAnsi" w:hAnsiTheme="minorHAnsi" w:cstheme="minorHAnsi"/>
        </w:rPr>
        <w:softHyphen/>
      </w:r>
      <w:r w:rsidRPr="00951307">
        <w:rPr>
          <w:rFonts w:asciiTheme="minorHAnsi" w:hAnsiTheme="minorHAnsi" w:cstheme="minorHAnsi"/>
        </w:rPr>
        <w:t>liche Presseauswertung.</w:t>
      </w:r>
    </w:p>
    <w:p w14:paraId="04B72BE1" w14:textId="77777777" w:rsidR="00831121" w:rsidRDefault="00831121" w:rsidP="00831121">
      <w:pPr>
        <w:spacing w:after="0"/>
        <w:rPr>
          <w:rFonts w:asciiTheme="minorHAnsi" w:hAnsiTheme="minorHAnsi" w:cstheme="minorHAnsi"/>
        </w:rPr>
      </w:pPr>
    </w:p>
    <w:p w14:paraId="251B86B8" w14:textId="77777777" w:rsidR="00951307" w:rsidRDefault="00951307" w:rsidP="00831121">
      <w:pPr>
        <w:spacing w:after="0"/>
        <w:rPr>
          <w:rFonts w:asciiTheme="minorHAnsi" w:hAnsiTheme="minorHAnsi" w:cstheme="minorHAnsi"/>
        </w:rPr>
      </w:pPr>
    </w:p>
    <w:p w14:paraId="649F9D51" w14:textId="77777777" w:rsidR="00951307" w:rsidRDefault="00951307" w:rsidP="00831121">
      <w:pPr>
        <w:spacing w:after="0"/>
        <w:rPr>
          <w:rFonts w:asciiTheme="minorHAnsi" w:hAnsiTheme="minorHAnsi" w:cstheme="minorHAnsi"/>
        </w:rPr>
      </w:pPr>
    </w:p>
    <w:p w14:paraId="2791C6BC" w14:textId="77777777" w:rsidR="00951307" w:rsidRDefault="00951307" w:rsidP="00831121">
      <w:pPr>
        <w:spacing w:after="0"/>
        <w:rPr>
          <w:rFonts w:asciiTheme="minorHAnsi" w:hAnsiTheme="minorHAnsi" w:cstheme="minorHAnsi"/>
        </w:rPr>
      </w:pPr>
    </w:p>
    <w:p w14:paraId="770A5C37" w14:textId="77777777" w:rsidR="00951307" w:rsidRPr="00951307" w:rsidRDefault="00951307" w:rsidP="00831121">
      <w:pPr>
        <w:spacing w:after="0"/>
        <w:rPr>
          <w:rFonts w:asciiTheme="minorHAnsi" w:hAnsiTheme="minorHAnsi" w:cstheme="minorHAnsi"/>
        </w:rPr>
      </w:pPr>
    </w:p>
    <w:p w14:paraId="021B0486" w14:textId="2A2855A2" w:rsidR="00831121" w:rsidRPr="00951307" w:rsidRDefault="00831121" w:rsidP="00831121">
      <w:pPr>
        <w:spacing w:after="0"/>
        <w:rPr>
          <w:rFonts w:asciiTheme="minorHAnsi" w:hAnsiTheme="minorHAnsi" w:cstheme="minorHAnsi"/>
        </w:rPr>
      </w:pPr>
    </w:p>
    <w:p w14:paraId="68BBBD5E" w14:textId="77777777" w:rsidR="00831121" w:rsidRPr="00951307" w:rsidRDefault="00831121" w:rsidP="00831121">
      <w:pPr>
        <w:spacing w:after="0"/>
        <w:rPr>
          <w:rFonts w:asciiTheme="minorHAnsi" w:hAnsiTheme="minorHAnsi" w:cstheme="minorHAnsi"/>
          <w:u w:val="single"/>
        </w:rPr>
      </w:pPr>
      <w:r w:rsidRPr="00951307">
        <w:rPr>
          <w:rFonts w:asciiTheme="minorHAnsi" w:hAnsiTheme="minorHAnsi" w:cstheme="minorHAnsi"/>
          <w:u w:val="single"/>
        </w:rPr>
        <w:t>Fazit:</w:t>
      </w:r>
    </w:p>
    <w:p w14:paraId="055CAE45" w14:textId="77777777" w:rsidR="00831121" w:rsidRPr="00951307" w:rsidRDefault="00831121" w:rsidP="00831121">
      <w:pPr>
        <w:spacing w:after="0"/>
        <w:rPr>
          <w:rFonts w:asciiTheme="minorHAnsi" w:hAnsiTheme="minorHAnsi" w:cstheme="minorHAnsi"/>
        </w:rPr>
      </w:pPr>
    </w:p>
    <w:p w14:paraId="4F964EDA" w14:textId="373FF55D" w:rsidR="00831121" w:rsidRPr="00951307" w:rsidRDefault="00831121" w:rsidP="00951307">
      <w:pPr>
        <w:numPr>
          <w:ilvl w:val="0"/>
          <w:numId w:val="2"/>
        </w:numPr>
        <w:spacing w:after="0"/>
        <w:ind w:right="-284"/>
        <w:rPr>
          <w:rFonts w:asciiTheme="minorHAnsi" w:hAnsiTheme="minorHAnsi" w:cstheme="minorHAnsi"/>
        </w:rPr>
      </w:pPr>
      <w:r w:rsidRPr="00951307">
        <w:rPr>
          <w:rFonts w:asciiTheme="minorHAnsi" w:hAnsiTheme="minorHAnsi" w:cstheme="minorHAnsi"/>
        </w:rPr>
        <w:t xml:space="preserve">Die Daniel-Theysohn-Stiftung kann inzwischen auf </w:t>
      </w:r>
      <w:r w:rsidR="00883AC4" w:rsidRPr="00951307">
        <w:rPr>
          <w:rFonts w:asciiTheme="minorHAnsi" w:hAnsiTheme="minorHAnsi" w:cstheme="minorHAnsi"/>
        </w:rPr>
        <w:t>5</w:t>
      </w:r>
      <w:r w:rsidR="00320733" w:rsidRPr="00951307">
        <w:rPr>
          <w:rFonts w:asciiTheme="minorHAnsi" w:hAnsiTheme="minorHAnsi" w:cstheme="minorHAnsi"/>
        </w:rPr>
        <w:t>3</w:t>
      </w:r>
      <w:r w:rsidRPr="00951307">
        <w:rPr>
          <w:rFonts w:asciiTheme="minorHAnsi" w:hAnsiTheme="minorHAnsi" w:cstheme="minorHAnsi"/>
        </w:rPr>
        <w:t xml:space="preserve"> Jahre Fördergeschehen zurückblicken</w:t>
      </w:r>
      <w:r w:rsidR="00320733" w:rsidRPr="00951307">
        <w:rPr>
          <w:rFonts w:asciiTheme="minorHAnsi" w:hAnsiTheme="minorHAnsi" w:cstheme="minorHAnsi"/>
        </w:rPr>
        <w:t>.</w:t>
      </w:r>
      <w:r w:rsidRPr="00951307">
        <w:rPr>
          <w:rFonts w:asciiTheme="minorHAnsi" w:hAnsiTheme="minorHAnsi" w:cstheme="minorHAnsi"/>
        </w:rPr>
        <w:t xml:space="preserve"> </w:t>
      </w:r>
    </w:p>
    <w:p w14:paraId="545BED77" w14:textId="55BE3D39" w:rsidR="00831121" w:rsidRPr="00951307" w:rsidRDefault="00831121" w:rsidP="00831121">
      <w:pPr>
        <w:numPr>
          <w:ilvl w:val="0"/>
          <w:numId w:val="2"/>
        </w:numPr>
        <w:spacing w:after="0"/>
        <w:rPr>
          <w:rFonts w:asciiTheme="minorHAnsi" w:hAnsiTheme="minorHAnsi" w:cstheme="minorHAnsi"/>
        </w:rPr>
      </w:pPr>
      <w:r w:rsidRPr="00951307">
        <w:rPr>
          <w:rFonts w:asciiTheme="minorHAnsi" w:hAnsiTheme="minorHAnsi" w:cstheme="minorHAnsi"/>
        </w:rPr>
        <w:t xml:space="preserve">Das Ausmaß der vorhandenen </w:t>
      </w:r>
      <w:r w:rsidR="00B20CD4" w:rsidRPr="00951307">
        <w:rPr>
          <w:rFonts w:asciiTheme="minorHAnsi" w:hAnsiTheme="minorHAnsi" w:cstheme="minorHAnsi"/>
        </w:rPr>
        <w:t xml:space="preserve">und eingesetzten </w:t>
      </w:r>
      <w:r w:rsidRPr="00951307">
        <w:rPr>
          <w:rFonts w:asciiTheme="minorHAnsi" w:hAnsiTheme="minorHAnsi" w:cstheme="minorHAnsi"/>
        </w:rPr>
        <w:t>Fördermittel hat innerhalb des räumlich relativ begrenzten Fördergebietes zu vielfältigen Gestaltungsmöglichkeiten im Rahmen der Förderzwecke beigetragen.</w:t>
      </w:r>
    </w:p>
    <w:p w14:paraId="65B1DA20" w14:textId="1E31FBBD" w:rsidR="00831121" w:rsidRPr="00951307" w:rsidRDefault="00831121" w:rsidP="00951307">
      <w:pPr>
        <w:numPr>
          <w:ilvl w:val="0"/>
          <w:numId w:val="2"/>
        </w:numPr>
        <w:spacing w:after="0"/>
        <w:ind w:right="-284"/>
        <w:rPr>
          <w:rFonts w:asciiTheme="minorHAnsi" w:hAnsiTheme="minorHAnsi" w:cstheme="minorHAnsi"/>
        </w:rPr>
      </w:pPr>
      <w:r w:rsidRPr="00951307">
        <w:rPr>
          <w:rFonts w:asciiTheme="minorHAnsi" w:hAnsiTheme="minorHAnsi" w:cstheme="minorHAnsi"/>
        </w:rPr>
        <w:t xml:space="preserve">Durch die Förderungen </w:t>
      </w:r>
      <w:r w:rsidR="00B20CD4" w:rsidRPr="00951307">
        <w:rPr>
          <w:rFonts w:asciiTheme="minorHAnsi" w:hAnsiTheme="minorHAnsi" w:cstheme="minorHAnsi"/>
        </w:rPr>
        <w:t xml:space="preserve">der </w:t>
      </w:r>
      <w:r w:rsidRPr="00951307">
        <w:rPr>
          <w:rFonts w:asciiTheme="minorHAnsi" w:hAnsiTheme="minorHAnsi" w:cstheme="minorHAnsi"/>
        </w:rPr>
        <w:t xml:space="preserve">Stiftung sind über die in jedem Ort sichtbaren Zeugnisse hinaus aber auch </w:t>
      </w:r>
      <w:r w:rsidRPr="00951307">
        <w:rPr>
          <w:rFonts w:asciiTheme="minorHAnsi" w:hAnsiTheme="minorHAnsi" w:cstheme="minorHAnsi"/>
          <w:u w:val="single"/>
        </w:rPr>
        <w:t>mittelbare gemeinnützige Entwicklungen</w:t>
      </w:r>
      <w:r w:rsidRPr="00951307">
        <w:rPr>
          <w:rFonts w:asciiTheme="minorHAnsi" w:hAnsiTheme="minorHAnsi" w:cstheme="minorHAnsi"/>
        </w:rPr>
        <w:t xml:space="preserve"> eingeleitet und vorangetrieben worden, die mit bloßem Auge nicht zu sehen, aber genauso wichtig sind.</w:t>
      </w:r>
    </w:p>
    <w:p w14:paraId="7309ED0A" w14:textId="77777777" w:rsidR="00831121" w:rsidRPr="00951307" w:rsidRDefault="00831121" w:rsidP="00831121">
      <w:pPr>
        <w:numPr>
          <w:ilvl w:val="0"/>
          <w:numId w:val="2"/>
        </w:numPr>
        <w:spacing w:after="0"/>
        <w:rPr>
          <w:rFonts w:asciiTheme="minorHAnsi" w:hAnsiTheme="minorHAnsi" w:cstheme="minorHAnsi"/>
        </w:rPr>
      </w:pPr>
      <w:r w:rsidRPr="00951307">
        <w:rPr>
          <w:rFonts w:asciiTheme="minorHAnsi" w:hAnsiTheme="minorHAnsi" w:cstheme="minorHAnsi"/>
        </w:rPr>
        <w:t>Nur beispielhaft wären hier zu nennen:</w:t>
      </w:r>
    </w:p>
    <w:p w14:paraId="5ED79CA8"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Erhöhung des schulischen und beruflichen Bildungsstandes junger Menschen und der damit verbundenen Arbeitsplatzchancen</w:t>
      </w:r>
    </w:p>
    <w:p w14:paraId="10A1B4F9"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Motivation durch Hilfe zur Selbsthilfe für Kommunen, Vereine und sonstige Institutionen</w:t>
      </w:r>
    </w:p>
    <w:p w14:paraId="26A86310"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Schaffung und Erhaltung von Arbeitsplätzen als Folge der Investitionen im Fördergebiet</w:t>
      </w:r>
    </w:p>
    <w:p w14:paraId="24ED35E7"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Steigerung von Wohn- und Lebensqualität in den geförderten Gemeinden</w:t>
      </w:r>
    </w:p>
    <w:p w14:paraId="3B39B7A2"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Erhalt von Natur und Umwelt trotz steigendem Finanzmangel der originär zuständigen Stellen</w:t>
      </w:r>
    </w:p>
    <w:p w14:paraId="30469E17" w14:textId="77777777" w:rsidR="00831121" w:rsidRPr="00951307" w:rsidRDefault="00831121" w:rsidP="00831121">
      <w:pPr>
        <w:numPr>
          <w:ilvl w:val="1"/>
          <w:numId w:val="2"/>
        </w:numPr>
        <w:spacing w:after="0"/>
        <w:rPr>
          <w:rFonts w:asciiTheme="minorHAnsi" w:hAnsiTheme="minorHAnsi" w:cstheme="minorHAnsi"/>
        </w:rPr>
      </w:pPr>
      <w:r w:rsidRPr="00951307">
        <w:rPr>
          <w:rFonts w:asciiTheme="minorHAnsi" w:hAnsiTheme="minorHAnsi" w:cstheme="minorHAnsi"/>
        </w:rPr>
        <w:t>Stärkung der Identifikation und Verbundenheit der im Fördergebiet lebenden Menschen mit ihrer Heimat, ihrer Kultur und ihrer Geschichte</w:t>
      </w:r>
    </w:p>
    <w:p w14:paraId="202BA2D6" w14:textId="77777777" w:rsidR="00831121" w:rsidRPr="00951307" w:rsidRDefault="00831121" w:rsidP="00831121">
      <w:pPr>
        <w:spacing w:after="0"/>
        <w:rPr>
          <w:rFonts w:asciiTheme="minorHAnsi" w:hAnsiTheme="minorHAnsi" w:cstheme="minorHAnsi"/>
        </w:rPr>
      </w:pPr>
    </w:p>
    <w:p w14:paraId="4512B459" w14:textId="2750BBFD" w:rsidR="00831121" w:rsidRPr="00951307" w:rsidRDefault="00831121" w:rsidP="00951307">
      <w:pPr>
        <w:numPr>
          <w:ilvl w:val="0"/>
          <w:numId w:val="8"/>
        </w:numPr>
        <w:spacing w:after="0"/>
        <w:ind w:right="-142"/>
        <w:rPr>
          <w:rFonts w:asciiTheme="minorHAnsi" w:hAnsiTheme="minorHAnsi" w:cstheme="minorHAnsi"/>
        </w:rPr>
      </w:pPr>
      <w:r w:rsidRPr="00951307">
        <w:rPr>
          <w:rFonts w:asciiTheme="minorHAnsi" w:hAnsiTheme="minorHAnsi" w:cstheme="minorHAnsi"/>
        </w:rPr>
        <w:t xml:space="preserve">Trotz der schwieriger </w:t>
      </w:r>
      <w:r w:rsidR="00320733" w:rsidRPr="00951307">
        <w:rPr>
          <w:rFonts w:asciiTheme="minorHAnsi" w:hAnsiTheme="minorHAnsi" w:cstheme="minorHAnsi"/>
        </w:rPr>
        <w:t xml:space="preserve">werdenden </w:t>
      </w:r>
      <w:r w:rsidRPr="00951307">
        <w:rPr>
          <w:rFonts w:asciiTheme="minorHAnsi" w:hAnsiTheme="minorHAnsi" w:cstheme="minorHAnsi"/>
        </w:rPr>
        <w:t xml:space="preserve">Rahmenbedingungen wird die Daniel-Theysohn-Stiftung alles dafür tun, auch künftig die von den Stiftern Ruth und Daniel Theysohn </w:t>
      </w:r>
      <w:r w:rsidR="00320733" w:rsidRPr="00951307">
        <w:rPr>
          <w:rFonts w:asciiTheme="minorHAnsi" w:hAnsiTheme="minorHAnsi" w:cstheme="minorHAnsi"/>
        </w:rPr>
        <w:t>aufgeführten</w:t>
      </w:r>
      <w:r w:rsidRPr="00951307">
        <w:rPr>
          <w:rFonts w:asciiTheme="minorHAnsi" w:hAnsiTheme="minorHAnsi" w:cstheme="minorHAnsi"/>
        </w:rPr>
        <w:t xml:space="preserve"> Förderzwecke zu bedienen.</w:t>
      </w:r>
    </w:p>
    <w:p w14:paraId="799D948B" w14:textId="77777777" w:rsidR="00831121" w:rsidRPr="00951307" w:rsidRDefault="00831121" w:rsidP="00831121">
      <w:pPr>
        <w:numPr>
          <w:ilvl w:val="0"/>
          <w:numId w:val="8"/>
        </w:numPr>
        <w:spacing w:after="0"/>
        <w:rPr>
          <w:rFonts w:asciiTheme="minorHAnsi" w:hAnsiTheme="minorHAnsi" w:cstheme="minorHAnsi"/>
        </w:rPr>
      </w:pPr>
      <w:r w:rsidRPr="00951307">
        <w:rPr>
          <w:rFonts w:asciiTheme="minorHAnsi" w:hAnsiTheme="minorHAnsi" w:cstheme="minorHAnsi"/>
        </w:rPr>
        <w:t>Gleichzeitig sollen die Voraussetzungen geschaffen und erhalten werden, dass auch kommende Generationen in den Genuss der Fördermittel kommen können.</w:t>
      </w:r>
    </w:p>
    <w:p w14:paraId="09E8FD99" w14:textId="77777777" w:rsidR="008E453B" w:rsidRDefault="008E453B"/>
    <w:sectPr w:rsidR="008E453B" w:rsidSect="00B22879">
      <w:headerReference w:type="default" r:id="rId9"/>
      <w:footerReference w:type="default" r:id="rId10"/>
      <w:pgSz w:w="11906" w:h="16838"/>
      <w:pgMar w:top="1417" w:right="1417" w:bottom="1134"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753D1" w14:textId="77777777" w:rsidR="008303AC" w:rsidRDefault="008303AC" w:rsidP="008303AC">
      <w:pPr>
        <w:spacing w:after="0" w:line="240" w:lineRule="auto"/>
      </w:pPr>
      <w:r>
        <w:separator/>
      </w:r>
    </w:p>
  </w:endnote>
  <w:endnote w:type="continuationSeparator" w:id="0">
    <w:p w14:paraId="284C650E" w14:textId="77777777" w:rsidR="008303AC" w:rsidRDefault="008303AC" w:rsidP="00830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808862738"/>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54FE9680" w14:textId="323CF73A" w:rsidR="008303AC" w:rsidRPr="008303AC" w:rsidRDefault="008303AC">
            <w:pPr>
              <w:pStyle w:val="Fuzeile"/>
              <w:jc w:val="right"/>
              <w:rPr>
                <w:rFonts w:asciiTheme="minorHAnsi" w:hAnsiTheme="minorHAnsi" w:cstheme="minorHAnsi"/>
                <w:sz w:val="22"/>
                <w:szCs w:val="22"/>
              </w:rPr>
            </w:pPr>
            <w:r w:rsidRPr="008303AC">
              <w:rPr>
                <w:rFonts w:asciiTheme="minorHAnsi" w:hAnsiTheme="minorHAnsi" w:cstheme="minorHAnsi"/>
                <w:sz w:val="22"/>
                <w:szCs w:val="22"/>
              </w:rPr>
              <w:t xml:space="preserve">Seite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PAGE</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r w:rsidRPr="008303AC">
              <w:rPr>
                <w:rFonts w:asciiTheme="minorHAnsi" w:hAnsiTheme="minorHAnsi" w:cstheme="minorHAnsi"/>
                <w:sz w:val="22"/>
                <w:szCs w:val="22"/>
              </w:rPr>
              <w:t xml:space="preserve"> von </w:t>
            </w:r>
            <w:r w:rsidRPr="008303AC">
              <w:rPr>
                <w:rFonts w:asciiTheme="minorHAnsi" w:hAnsiTheme="minorHAnsi" w:cstheme="minorHAnsi"/>
                <w:b/>
                <w:bCs/>
                <w:sz w:val="22"/>
                <w:szCs w:val="22"/>
              </w:rPr>
              <w:fldChar w:fldCharType="begin"/>
            </w:r>
            <w:r w:rsidRPr="008303AC">
              <w:rPr>
                <w:rFonts w:asciiTheme="minorHAnsi" w:hAnsiTheme="minorHAnsi" w:cstheme="minorHAnsi"/>
                <w:b/>
                <w:bCs/>
                <w:sz w:val="22"/>
                <w:szCs w:val="22"/>
              </w:rPr>
              <w:instrText>NUMPAGES</w:instrText>
            </w:r>
            <w:r w:rsidRPr="008303AC">
              <w:rPr>
                <w:rFonts w:asciiTheme="minorHAnsi" w:hAnsiTheme="minorHAnsi" w:cstheme="minorHAnsi"/>
                <w:b/>
                <w:bCs/>
                <w:sz w:val="22"/>
                <w:szCs w:val="22"/>
              </w:rPr>
              <w:fldChar w:fldCharType="separate"/>
            </w:r>
            <w:r w:rsidRPr="008303AC">
              <w:rPr>
                <w:rFonts w:asciiTheme="minorHAnsi" w:hAnsiTheme="minorHAnsi" w:cstheme="minorHAnsi"/>
                <w:b/>
                <w:bCs/>
                <w:sz w:val="22"/>
                <w:szCs w:val="22"/>
              </w:rPr>
              <w:t>2</w:t>
            </w:r>
            <w:r w:rsidRPr="008303AC">
              <w:rPr>
                <w:rFonts w:asciiTheme="minorHAnsi" w:hAnsiTheme="minorHAnsi" w:cstheme="minorHAnsi"/>
                <w:b/>
                <w:bCs/>
                <w:sz w:val="22"/>
                <w:szCs w:val="22"/>
              </w:rPr>
              <w:fldChar w:fldCharType="end"/>
            </w:r>
          </w:p>
        </w:sdtContent>
      </w:sdt>
    </w:sdtContent>
  </w:sdt>
  <w:p w14:paraId="05C85F48" w14:textId="77777777" w:rsidR="008303AC" w:rsidRDefault="008303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BB4FA" w14:textId="77777777" w:rsidR="008303AC" w:rsidRDefault="008303AC" w:rsidP="008303AC">
      <w:pPr>
        <w:spacing w:after="0" w:line="240" w:lineRule="auto"/>
      </w:pPr>
      <w:r>
        <w:separator/>
      </w:r>
    </w:p>
  </w:footnote>
  <w:footnote w:type="continuationSeparator" w:id="0">
    <w:p w14:paraId="613E4B03" w14:textId="77777777" w:rsidR="008303AC" w:rsidRDefault="008303AC" w:rsidP="00830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FB86" w14:textId="2CDC4244" w:rsidR="00D40B31" w:rsidRDefault="00D40B31">
    <w:pPr>
      <w:pStyle w:val="Kopfzeile"/>
    </w:pPr>
    <w:r>
      <w:rPr>
        <w:noProof/>
      </w:rPr>
      <w:drawing>
        <wp:anchor distT="0" distB="0" distL="114300" distR="114300" simplePos="0" relativeHeight="251658240" behindDoc="1" locked="0" layoutInCell="1" allowOverlap="1" wp14:anchorId="156ABDFE" wp14:editId="4EFFDFA8">
          <wp:simplePos x="0" y="0"/>
          <wp:positionH relativeFrom="column">
            <wp:posOffset>4864846</wp:posOffset>
          </wp:positionH>
          <wp:positionV relativeFrom="paragraph">
            <wp:posOffset>-95968</wp:posOffset>
          </wp:positionV>
          <wp:extent cx="1400400" cy="910800"/>
          <wp:effectExtent l="0" t="0" r="0" b="3810"/>
          <wp:wrapTight wrapText="bothSides">
            <wp:wrapPolygon edited="0">
              <wp:start x="1469" y="0"/>
              <wp:lineTo x="588" y="904"/>
              <wp:lineTo x="0" y="4067"/>
              <wp:lineTo x="0" y="18075"/>
              <wp:lineTo x="588" y="20787"/>
              <wp:lineTo x="1469" y="21238"/>
              <wp:lineTo x="19984" y="21238"/>
              <wp:lineTo x="20571" y="20787"/>
              <wp:lineTo x="21159" y="17172"/>
              <wp:lineTo x="20865" y="1356"/>
              <wp:lineTo x="20571" y="0"/>
              <wp:lineTo x="1469" y="0"/>
            </wp:wrapPolygon>
          </wp:wrapTight>
          <wp:docPr id="13923913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391318" name="Grafik 1392391318"/>
                  <pic:cNvPicPr/>
                </pic:nvPicPr>
                <pic:blipFill>
                  <a:blip r:embed="rId1">
                    <a:extLst>
                      <a:ext uri="{28A0092B-C50C-407E-A947-70E740481C1C}">
                        <a14:useLocalDpi xmlns:a14="http://schemas.microsoft.com/office/drawing/2010/main" val="0"/>
                      </a:ext>
                    </a:extLst>
                  </a:blip>
                  <a:stretch>
                    <a:fillRect/>
                  </a:stretch>
                </pic:blipFill>
                <pic:spPr>
                  <a:xfrm>
                    <a:off x="0" y="0"/>
                    <a:ext cx="1400400" cy="910800"/>
                  </a:xfrm>
                  <a:prstGeom prst="rect">
                    <a:avLst/>
                  </a:prstGeom>
                </pic:spPr>
              </pic:pic>
            </a:graphicData>
          </a:graphic>
          <wp14:sizeRelH relativeFrom="margin">
            <wp14:pctWidth>0</wp14:pctWidth>
          </wp14:sizeRelH>
          <wp14:sizeRelV relativeFrom="margin">
            <wp14:pctHeight>0</wp14:pctHeight>
          </wp14:sizeRelV>
        </wp:anchor>
      </w:drawing>
    </w:r>
  </w:p>
  <w:p w14:paraId="78AB5567" w14:textId="77777777" w:rsidR="00D40B31" w:rsidRDefault="00D40B31">
    <w:pPr>
      <w:pStyle w:val="Kopfzeile"/>
    </w:pPr>
  </w:p>
  <w:p w14:paraId="5034A3CE" w14:textId="77777777" w:rsidR="00D40B31" w:rsidRDefault="00D40B31">
    <w:pPr>
      <w:pStyle w:val="Kopfzeile"/>
    </w:pPr>
  </w:p>
  <w:p w14:paraId="6D9E4801" w14:textId="009519CD" w:rsidR="00D40B31" w:rsidRDefault="00D40B31">
    <w:pPr>
      <w:pStyle w:val="Kopfzeile"/>
    </w:pPr>
  </w:p>
  <w:p w14:paraId="6F494264" w14:textId="77777777" w:rsidR="00D40B31" w:rsidRDefault="00D40B31">
    <w:pPr>
      <w:pStyle w:val="Kopfzeile"/>
    </w:pPr>
  </w:p>
  <w:p w14:paraId="50150F9A" w14:textId="77777777" w:rsidR="00D40B31" w:rsidRDefault="00D40B31">
    <w:pPr>
      <w:pStyle w:val="Kopfzeile"/>
    </w:pPr>
  </w:p>
  <w:p w14:paraId="10C7E605" w14:textId="211E9238" w:rsidR="00D40B31" w:rsidRDefault="00D40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83755"/>
    <w:multiLevelType w:val="hybridMultilevel"/>
    <w:tmpl w:val="CE9EF99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23E5714"/>
    <w:multiLevelType w:val="hybridMultilevel"/>
    <w:tmpl w:val="BE26514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5DC2A9A"/>
    <w:multiLevelType w:val="hybridMultilevel"/>
    <w:tmpl w:val="31EEE30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6843F44"/>
    <w:multiLevelType w:val="hybridMultilevel"/>
    <w:tmpl w:val="A014B5BE"/>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78F341F"/>
    <w:multiLevelType w:val="hybridMultilevel"/>
    <w:tmpl w:val="ABECFD12"/>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040222D"/>
    <w:multiLevelType w:val="hybridMultilevel"/>
    <w:tmpl w:val="AE3E09A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3D052ED"/>
    <w:multiLevelType w:val="hybridMultilevel"/>
    <w:tmpl w:val="24C85B76"/>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D63106C"/>
    <w:multiLevelType w:val="hybridMultilevel"/>
    <w:tmpl w:val="65062C0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96544156">
    <w:abstractNumId w:val="4"/>
  </w:num>
  <w:num w:numId="2" w16cid:durableId="1890148611">
    <w:abstractNumId w:val="1"/>
  </w:num>
  <w:num w:numId="3" w16cid:durableId="1679695528">
    <w:abstractNumId w:val="0"/>
  </w:num>
  <w:num w:numId="4" w16cid:durableId="1479374673">
    <w:abstractNumId w:val="6"/>
  </w:num>
  <w:num w:numId="5" w16cid:durableId="533079164">
    <w:abstractNumId w:val="3"/>
  </w:num>
  <w:num w:numId="6" w16cid:durableId="1841188974">
    <w:abstractNumId w:val="7"/>
  </w:num>
  <w:num w:numId="7" w16cid:durableId="798692683">
    <w:abstractNumId w:val="5"/>
  </w:num>
  <w:num w:numId="8" w16cid:durableId="1897204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121"/>
    <w:rsid w:val="000E6DC7"/>
    <w:rsid w:val="002B370C"/>
    <w:rsid w:val="00320733"/>
    <w:rsid w:val="003F77D4"/>
    <w:rsid w:val="0079088C"/>
    <w:rsid w:val="008303AC"/>
    <w:rsid w:val="00831121"/>
    <w:rsid w:val="00883AC4"/>
    <w:rsid w:val="008D184E"/>
    <w:rsid w:val="008E453B"/>
    <w:rsid w:val="00951307"/>
    <w:rsid w:val="00A0299C"/>
    <w:rsid w:val="00B20CD4"/>
    <w:rsid w:val="00B22879"/>
    <w:rsid w:val="00C46E6A"/>
    <w:rsid w:val="00D40B31"/>
    <w:rsid w:val="00F37164"/>
    <w:rsid w:val="00F841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3FD44"/>
  <w15:chartTrackingRefBased/>
  <w15:docId w15:val="{E71879CF-880E-43D5-B87A-C816CAF8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1121"/>
    <w:pPr>
      <w:spacing w:after="200" w:line="276" w:lineRule="auto"/>
    </w:pPr>
    <w:rPr>
      <w:rFonts w:eastAsia="Calibri"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831121"/>
    <w:rPr>
      <w:color w:val="0000FF"/>
      <w:u w:val="single"/>
    </w:rPr>
  </w:style>
  <w:style w:type="character" w:styleId="NichtaufgelsteErwhnung">
    <w:name w:val="Unresolved Mention"/>
    <w:basedOn w:val="Absatz-Standardschriftart"/>
    <w:uiPriority w:val="99"/>
    <w:semiHidden/>
    <w:unhideWhenUsed/>
    <w:rsid w:val="0079088C"/>
    <w:rPr>
      <w:color w:val="605E5C"/>
      <w:shd w:val="clear" w:color="auto" w:fill="E1DFDD"/>
    </w:rPr>
  </w:style>
  <w:style w:type="paragraph" w:styleId="Kopfzeile">
    <w:name w:val="header"/>
    <w:basedOn w:val="Standard"/>
    <w:link w:val="KopfzeileZchn"/>
    <w:uiPriority w:val="99"/>
    <w:unhideWhenUsed/>
    <w:rsid w:val="008303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3AC"/>
    <w:rPr>
      <w:rFonts w:eastAsia="Calibri" w:cs="Arial"/>
      <w:sz w:val="24"/>
      <w:szCs w:val="24"/>
    </w:rPr>
  </w:style>
  <w:style w:type="paragraph" w:styleId="Fuzeile">
    <w:name w:val="footer"/>
    <w:basedOn w:val="Standard"/>
    <w:link w:val="FuzeileZchn"/>
    <w:uiPriority w:val="99"/>
    <w:unhideWhenUsed/>
    <w:rsid w:val="008303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3AC"/>
    <w:rPr>
      <w:rFonts w:eastAsia="Calibri"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iel-theysohn-stiftung.de" TargetMode="External"/><Relationship Id="rId3" Type="http://schemas.openxmlformats.org/officeDocument/2006/relationships/settings" Target="settings.xml"/><Relationship Id="rId7" Type="http://schemas.openxmlformats.org/officeDocument/2006/relationships/hyperlink" Target="http://www.daniel-theysohn-stiftun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1040</Words>
  <Characters>6557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Gerhard Andreas</dc:creator>
  <cp:keywords/>
  <dc:description/>
  <cp:lastModifiedBy>Sabine Sturm</cp:lastModifiedBy>
  <cp:revision>2</cp:revision>
  <dcterms:created xsi:type="dcterms:W3CDTF">2024-10-08T12:21:00Z</dcterms:created>
  <dcterms:modified xsi:type="dcterms:W3CDTF">2024-10-08T12:21:00Z</dcterms:modified>
</cp:coreProperties>
</file>